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469761">
      <w:pPr>
        <w:ind w:left="426" w:right="-17"/>
        <w:jc w:val="center"/>
        <w:rPr>
          <w:rFonts w:ascii="Arial" w:hAnsi="Arial" w:cs="Arial"/>
          <w:b/>
        </w:rPr>
      </w:pPr>
      <w:bookmarkStart w:id="0" w:name="_Hlk142658039"/>
      <w:r>
        <w:rPr>
          <w:rFonts w:ascii="Arial" w:hAnsi="Arial" w:cs="Arial"/>
          <w:b/>
        </w:rPr>
        <w:t>ANEXO VI</w:t>
      </w:r>
    </w:p>
    <w:p w14:paraId="6F6D39A2">
      <w:pPr>
        <w:ind w:left="426" w:right="-17"/>
        <w:jc w:val="center"/>
        <w:rPr>
          <w:rFonts w:ascii="Arial" w:hAnsi="Arial" w:cs="Arial"/>
          <w:b/>
        </w:rPr>
      </w:pPr>
    </w:p>
    <w:p w14:paraId="477A5C8A">
      <w:pPr>
        <w:ind w:left="426" w:right="-17"/>
        <w:jc w:val="center"/>
        <w:rPr>
          <w:rFonts w:ascii="Arial" w:hAnsi="Arial" w:cs="Arial"/>
          <w:b/>
        </w:rPr>
      </w:pPr>
      <w:r>
        <w:rPr>
          <w:rFonts w:ascii="Arial" w:hAnsi="Arial" w:cs="Arial"/>
          <w:b/>
        </w:rPr>
        <w:t xml:space="preserve">MINUTA DE TERMO DE CONTRATO DE </w:t>
      </w:r>
      <w:bookmarkEnd w:id="0"/>
      <w:r>
        <w:rPr>
          <w:rFonts w:ascii="Arial" w:hAnsi="Arial" w:cs="Arial"/>
          <w:b/>
        </w:rPr>
        <w:t>COMPRA</w:t>
      </w:r>
    </w:p>
    <w:p w14:paraId="4597694C">
      <w:pPr>
        <w:ind w:left="426" w:right="-17"/>
        <w:jc w:val="center"/>
        <w:rPr>
          <w:rFonts w:ascii="Arial" w:hAnsi="Arial" w:cs="Arial"/>
          <w:b/>
        </w:rPr>
      </w:pPr>
    </w:p>
    <w:p w14:paraId="26F1766C">
      <w:pPr>
        <w:ind w:left="4253" w:right="-17"/>
        <w:jc w:val="both"/>
        <w:rPr>
          <w:rFonts w:ascii="Arial" w:hAnsi="Arial" w:cs="Arial"/>
          <w:b/>
        </w:rPr>
      </w:pPr>
    </w:p>
    <w:p w14:paraId="10712242">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14:paraId="25701DDF">
      <w:pPr>
        <w:spacing w:line="276" w:lineRule="auto"/>
        <w:ind w:left="5103" w:right="-17"/>
        <w:jc w:val="both"/>
        <w:rPr>
          <w:rFonts w:ascii="Arial" w:hAnsi="Arial" w:cs="Arial"/>
          <w:b/>
        </w:rPr>
      </w:pPr>
    </w:p>
    <w:bookmarkEnd w:id="1"/>
    <w:p w14:paraId="747464F9">
      <w:pPr>
        <w:pStyle w:val="13"/>
        <w:spacing w:line="276" w:lineRule="auto"/>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w:t>
      </w:r>
      <w:r>
        <w:rPr>
          <w:rFonts w:ascii="Arial" w:hAnsi="Arial" w:cs="Arial"/>
          <w:b/>
          <w:bCs/>
          <w:sz w:val="22"/>
          <w:szCs w:val="22"/>
        </w:rPr>
        <w:t xml:space="preserve">Processo Administrativo </w:t>
      </w:r>
      <w:r>
        <w:rPr>
          <w:rFonts w:ascii="Arial" w:hAnsi="Arial" w:cs="Arial"/>
          <w:b/>
          <w:bCs/>
          <w:sz w:val="22"/>
          <w:szCs w:val="22"/>
          <w:highlight w:val="none"/>
        </w:rPr>
        <w:t xml:space="preserve">nº </w:t>
      </w:r>
      <w:r>
        <w:rPr>
          <w:rFonts w:hint="default" w:ascii="Arial" w:hAnsi="Arial" w:cs="Arial"/>
          <w:b/>
          <w:bCs/>
          <w:sz w:val="22"/>
          <w:szCs w:val="22"/>
          <w:highlight w:val="none"/>
          <w:lang w:val="pt-BR"/>
        </w:rPr>
        <w:t>45.358/2025</w:t>
      </w:r>
      <w:r>
        <w:rPr>
          <w:rFonts w:ascii="Arial" w:hAnsi="Arial" w:cs="Arial"/>
          <w:b/>
          <w:bCs/>
          <w:sz w:val="22"/>
          <w:szCs w:val="22"/>
          <w:highlight w:val="none"/>
        </w:rPr>
        <w:t>,</w:t>
      </w:r>
      <w:r>
        <w:rPr>
          <w:rFonts w:ascii="Arial" w:hAnsi="Arial" w:cs="Arial"/>
          <w:b/>
          <w:bCs/>
          <w:sz w:val="22"/>
          <w:szCs w:val="22"/>
        </w:rPr>
        <w:t xml:space="preserve"> </w:t>
      </w:r>
      <w:r>
        <w:rPr>
          <w:rFonts w:ascii="Arial" w:hAnsi="Arial" w:cs="Arial"/>
          <w:sz w:val="22"/>
          <w:szCs w:val="22"/>
        </w:rPr>
        <w:t xml:space="preserve">e em observância às disposições da Lei nº 14.133, de 1º de abril de 2021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resolvem celebrar o presente Termo de Contrato, d</w:t>
      </w:r>
      <w:r>
        <w:rPr>
          <w:rFonts w:ascii="Arial" w:hAnsi="Arial" w:cs="Arial"/>
          <w:sz w:val="22"/>
          <w:szCs w:val="22"/>
          <w:highlight w:val="none"/>
        </w:rPr>
        <w:t xml:space="preserve">ecorrente do </w:t>
      </w:r>
      <w:r>
        <w:rPr>
          <w:rFonts w:ascii="Arial" w:hAnsi="Arial" w:cs="Arial"/>
          <w:b/>
          <w:bCs/>
          <w:sz w:val="22"/>
          <w:szCs w:val="22"/>
          <w:highlight w:val="none"/>
        </w:rPr>
        <w:t>Pregão Eletrônico n</w:t>
      </w:r>
      <w:bookmarkStart w:id="4" w:name="_GoBack"/>
      <w:r>
        <w:rPr>
          <w:rFonts w:hint="default" w:ascii="Arial" w:hAnsi="Arial" w:cs="Arial"/>
          <w:b/>
          <w:bCs/>
          <w:sz w:val="22"/>
          <w:szCs w:val="22"/>
          <w:highlight w:val="none"/>
          <w:lang w:val="pt-BR"/>
        </w:rPr>
        <w:t>.</w:t>
      </w:r>
      <w:r>
        <w:rPr>
          <w:rFonts w:ascii="Arial" w:hAnsi="Arial" w:cs="Arial"/>
          <w:b/>
          <w:bCs/>
          <w:sz w:val="22"/>
          <w:szCs w:val="22"/>
          <w:highlight w:val="none"/>
        </w:rPr>
        <w:t xml:space="preserve">º </w:t>
      </w:r>
      <w:r>
        <w:rPr>
          <w:rFonts w:hint="default" w:ascii="Arial" w:hAnsi="Arial" w:cs="Arial"/>
          <w:b/>
          <w:bCs/>
          <w:sz w:val="22"/>
          <w:szCs w:val="22"/>
          <w:highlight w:val="none"/>
          <w:lang w:val="pt-BR"/>
        </w:rPr>
        <w:t>67</w:t>
      </w:r>
      <w:r>
        <w:rPr>
          <w:rFonts w:ascii="Arial" w:hAnsi="Arial" w:cs="Arial"/>
          <w:b/>
          <w:bCs/>
          <w:sz w:val="22"/>
          <w:szCs w:val="22"/>
          <w:highlight w:val="none"/>
        </w:rPr>
        <w:t>/20</w:t>
      </w:r>
      <w:r>
        <w:rPr>
          <w:rFonts w:hint="default" w:ascii="Arial" w:hAnsi="Arial" w:cs="Arial"/>
          <w:b/>
          <w:bCs/>
          <w:sz w:val="22"/>
          <w:szCs w:val="22"/>
          <w:highlight w:val="none"/>
          <w:lang w:val="pt-BR"/>
        </w:rPr>
        <w:t>26</w:t>
      </w:r>
      <w:r>
        <w:rPr>
          <w:rFonts w:ascii="Arial" w:hAnsi="Arial" w:cs="Arial"/>
          <w:sz w:val="22"/>
          <w:szCs w:val="22"/>
          <w:highlight w:val="none"/>
        </w:rPr>
        <w:t xml:space="preserve">, </w:t>
      </w:r>
      <w:bookmarkEnd w:id="4"/>
      <w:r>
        <w:rPr>
          <w:rFonts w:ascii="Arial" w:hAnsi="Arial" w:cs="Arial"/>
          <w:sz w:val="22"/>
          <w:szCs w:val="22"/>
        </w:rPr>
        <w:t>mediante as cláusulas e condições a seguir enunciadas.</w:t>
      </w:r>
    </w:p>
    <w:p w14:paraId="206A27A7">
      <w:pPr>
        <w:pStyle w:val="19"/>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14:paraId="23DF6610">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objeto do presente instrumento é a </w:t>
      </w:r>
      <w:r>
        <w:rPr>
          <w:rFonts w:hint="default" w:ascii="Arial" w:hAnsi="Arial" w:cs="Arial"/>
          <w:b/>
          <w:bCs w:val="0"/>
          <w:iCs/>
          <w:lang w:val="pt-BR" w:eastAsia="pt-BR"/>
        </w:rPr>
        <w:t>AQUISIÇÃO DE VEÍCULO VOLKSWAGEN T-CROSS, 0 (zero) quilômetro, tipo SUV, para uso nas atividades institucionais da Secretaria Municipal de Proteção e Defesa Civil,</w:t>
      </w:r>
      <w:r>
        <w:rPr>
          <w:rFonts w:ascii="Arial" w:hAnsi="Arial" w:cs="Arial"/>
          <w:bCs/>
          <w:iCs/>
        </w:rPr>
        <w:t xml:space="preserve"> nas condições estabelecidas no Termo de Referência – Anexo I do edital.</w:t>
      </w:r>
    </w:p>
    <w:p w14:paraId="1C46D016">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14:paraId="64203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6" w:type="pct"/>
            <w:vMerge w:val="restart"/>
            <w:shd w:val="clear" w:color="auto" w:fill="D8D8D8"/>
            <w:tcMar>
              <w:top w:w="0" w:type="dxa"/>
              <w:left w:w="108" w:type="dxa"/>
              <w:bottom w:w="0" w:type="dxa"/>
              <w:right w:w="108" w:type="dxa"/>
            </w:tcMar>
            <w:vAlign w:val="center"/>
          </w:tcPr>
          <w:p w14:paraId="6CD7122C">
            <w:pPr>
              <w:pStyle w:val="19"/>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14:paraId="0EB457BC">
            <w:pPr>
              <w:pStyle w:val="19"/>
              <w:ind w:left="0"/>
              <w:jc w:val="center"/>
              <w:rPr>
                <w:rFonts w:ascii="Arial" w:hAnsi="Arial" w:cs="Arial"/>
                <w:b/>
              </w:rPr>
            </w:pPr>
            <w:r>
              <w:rPr>
                <w:rFonts w:ascii="Arial" w:hAnsi="Arial" w:cs="Arial"/>
                <w:b/>
              </w:rPr>
              <w:t>CATMAT</w:t>
            </w:r>
          </w:p>
        </w:tc>
        <w:tc>
          <w:tcPr>
            <w:tcW w:w="1328" w:type="pct"/>
            <w:vMerge w:val="restart"/>
            <w:shd w:val="clear" w:color="auto" w:fill="D8D8D8"/>
            <w:tcMar>
              <w:top w:w="0" w:type="dxa"/>
              <w:left w:w="108" w:type="dxa"/>
              <w:bottom w:w="0" w:type="dxa"/>
              <w:right w:w="108" w:type="dxa"/>
            </w:tcMar>
            <w:vAlign w:val="center"/>
          </w:tcPr>
          <w:p w14:paraId="084D55E5">
            <w:pPr>
              <w:pStyle w:val="19"/>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14:paraId="40C5D036">
            <w:pPr>
              <w:pStyle w:val="19"/>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14:paraId="3DB54141">
            <w:pPr>
              <w:pStyle w:val="19"/>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14:paraId="7A6DBFA2">
            <w:pPr>
              <w:pStyle w:val="19"/>
              <w:ind w:left="0"/>
              <w:jc w:val="center"/>
              <w:rPr>
                <w:rFonts w:ascii="Arial" w:hAnsi="Arial" w:cs="Arial"/>
                <w:b/>
              </w:rPr>
            </w:pPr>
            <w:r>
              <w:rPr>
                <w:rFonts w:ascii="Arial" w:hAnsi="Arial" w:cs="Arial"/>
                <w:b/>
              </w:rPr>
              <w:t>VALOR</w:t>
            </w:r>
          </w:p>
        </w:tc>
      </w:tr>
      <w:tr w14:paraId="669FB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14:paraId="479203AD">
            <w:pPr>
              <w:rPr>
                <w:rFonts w:ascii="Arial" w:hAnsi="Arial" w:cs="Arial"/>
              </w:rPr>
            </w:pPr>
          </w:p>
        </w:tc>
        <w:tc>
          <w:tcPr>
            <w:tcW w:w="606" w:type="pct"/>
            <w:vMerge w:val="continue"/>
            <w:shd w:val="clear" w:color="auto" w:fill="D8D8D8"/>
          </w:tcPr>
          <w:p w14:paraId="27123017">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14:paraId="38CED27B">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14:paraId="59FB317C">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14:paraId="3D3D3A13">
            <w:pPr>
              <w:rPr>
                <w:rFonts w:ascii="Arial" w:hAnsi="Arial" w:cs="Arial"/>
              </w:rPr>
            </w:pPr>
          </w:p>
        </w:tc>
        <w:tc>
          <w:tcPr>
            <w:tcW w:w="839" w:type="pct"/>
            <w:shd w:val="clear" w:color="auto" w:fill="D8D8D8"/>
            <w:tcMar>
              <w:top w:w="0" w:type="dxa"/>
              <w:left w:w="108" w:type="dxa"/>
              <w:bottom w:w="0" w:type="dxa"/>
              <w:right w:w="108" w:type="dxa"/>
            </w:tcMar>
            <w:vAlign w:val="center"/>
          </w:tcPr>
          <w:p w14:paraId="3724E40D">
            <w:pPr>
              <w:pStyle w:val="19"/>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14:paraId="1EC2D5B0">
            <w:pPr>
              <w:pStyle w:val="19"/>
              <w:ind w:left="0"/>
              <w:jc w:val="center"/>
              <w:rPr>
                <w:rFonts w:ascii="Arial" w:hAnsi="Arial" w:cs="Arial"/>
                <w:b/>
              </w:rPr>
            </w:pPr>
            <w:r>
              <w:rPr>
                <w:rFonts w:ascii="Arial" w:hAnsi="Arial" w:cs="Arial"/>
                <w:b/>
              </w:rPr>
              <w:t>TOTAL</w:t>
            </w:r>
          </w:p>
        </w:tc>
      </w:tr>
      <w:tr w14:paraId="08AEE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0A948E86">
            <w:pPr>
              <w:pStyle w:val="38"/>
              <w:jc w:val="center"/>
              <w:rPr>
                <w:rFonts w:ascii="Arial" w:hAnsi="Arial" w:cs="Arial"/>
                <w:b/>
              </w:rPr>
            </w:pPr>
            <w:r>
              <w:rPr>
                <w:rFonts w:ascii="Arial" w:hAnsi="Arial" w:cs="Arial"/>
                <w:b/>
              </w:rPr>
              <w:t>1</w:t>
            </w:r>
          </w:p>
        </w:tc>
        <w:tc>
          <w:tcPr>
            <w:tcW w:w="606" w:type="pct"/>
          </w:tcPr>
          <w:p w14:paraId="1CAD437C">
            <w:pPr>
              <w:pStyle w:val="38"/>
              <w:jc w:val="both"/>
              <w:rPr>
                <w:rFonts w:ascii="Arial" w:hAnsi="Arial" w:cs="Arial"/>
              </w:rPr>
            </w:pPr>
          </w:p>
        </w:tc>
        <w:tc>
          <w:tcPr>
            <w:tcW w:w="1328" w:type="pct"/>
            <w:tcMar>
              <w:top w:w="0" w:type="dxa"/>
              <w:left w:w="108" w:type="dxa"/>
              <w:bottom w:w="0" w:type="dxa"/>
              <w:right w:w="108" w:type="dxa"/>
            </w:tcMar>
            <w:vAlign w:val="center"/>
          </w:tcPr>
          <w:p w14:paraId="016DEEF1">
            <w:pPr>
              <w:pStyle w:val="38"/>
              <w:jc w:val="both"/>
              <w:rPr>
                <w:rFonts w:ascii="Arial" w:hAnsi="Arial" w:cs="Arial"/>
              </w:rPr>
            </w:pPr>
          </w:p>
        </w:tc>
        <w:tc>
          <w:tcPr>
            <w:tcW w:w="534" w:type="pct"/>
            <w:tcMar>
              <w:top w:w="0" w:type="dxa"/>
              <w:left w:w="108" w:type="dxa"/>
              <w:bottom w:w="0" w:type="dxa"/>
              <w:right w:w="108" w:type="dxa"/>
            </w:tcMar>
            <w:vAlign w:val="center"/>
          </w:tcPr>
          <w:p w14:paraId="1746B596">
            <w:pPr>
              <w:pStyle w:val="38"/>
              <w:jc w:val="center"/>
              <w:rPr>
                <w:rFonts w:ascii="Arial" w:hAnsi="Arial" w:cs="Arial"/>
              </w:rPr>
            </w:pPr>
          </w:p>
        </w:tc>
        <w:tc>
          <w:tcPr>
            <w:tcW w:w="583" w:type="pct"/>
            <w:tcMar>
              <w:top w:w="0" w:type="dxa"/>
              <w:left w:w="108" w:type="dxa"/>
              <w:bottom w:w="0" w:type="dxa"/>
              <w:right w:w="108" w:type="dxa"/>
            </w:tcMar>
            <w:vAlign w:val="center"/>
          </w:tcPr>
          <w:p w14:paraId="6F9926CF">
            <w:pPr>
              <w:pStyle w:val="38"/>
              <w:jc w:val="center"/>
              <w:rPr>
                <w:rFonts w:ascii="Arial" w:hAnsi="Arial" w:cs="Arial"/>
                <w:b/>
              </w:rPr>
            </w:pPr>
          </w:p>
        </w:tc>
        <w:tc>
          <w:tcPr>
            <w:tcW w:w="839" w:type="pct"/>
            <w:tcMar>
              <w:top w:w="0" w:type="dxa"/>
              <w:left w:w="108" w:type="dxa"/>
              <w:bottom w:w="0" w:type="dxa"/>
              <w:right w:w="108" w:type="dxa"/>
            </w:tcMar>
            <w:vAlign w:val="center"/>
          </w:tcPr>
          <w:p w14:paraId="545B0236">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4EA66B36">
            <w:pPr>
              <w:pStyle w:val="38"/>
              <w:spacing w:after="0" w:line="240" w:lineRule="auto"/>
              <w:jc w:val="right"/>
              <w:rPr>
                <w:rFonts w:ascii="Arial" w:hAnsi="Arial" w:cs="Arial"/>
                <w:b/>
                <w:bCs/>
              </w:rPr>
            </w:pPr>
          </w:p>
        </w:tc>
      </w:tr>
      <w:tr w14:paraId="12B9E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5EC9CA2D">
            <w:pPr>
              <w:pStyle w:val="38"/>
              <w:jc w:val="center"/>
              <w:rPr>
                <w:rFonts w:ascii="Arial" w:hAnsi="Arial" w:cs="Arial"/>
                <w:b/>
              </w:rPr>
            </w:pPr>
            <w:r>
              <w:rPr>
                <w:rFonts w:ascii="Arial" w:hAnsi="Arial" w:cs="Arial"/>
                <w:b/>
              </w:rPr>
              <w:t>…</w:t>
            </w:r>
          </w:p>
        </w:tc>
        <w:tc>
          <w:tcPr>
            <w:tcW w:w="606" w:type="pct"/>
          </w:tcPr>
          <w:p w14:paraId="1F8D0B53">
            <w:pPr>
              <w:pStyle w:val="38"/>
              <w:jc w:val="both"/>
              <w:rPr>
                <w:rFonts w:ascii="Arial" w:hAnsi="Arial" w:cs="Arial"/>
              </w:rPr>
            </w:pPr>
          </w:p>
        </w:tc>
        <w:tc>
          <w:tcPr>
            <w:tcW w:w="1328" w:type="pct"/>
            <w:tcMar>
              <w:top w:w="0" w:type="dxa"/>
              <w:left w:w="108" w:type="dxa"/>
              <w:bottom w:w="0" w:type="dxa"/>
              <w:right w:w="108" w:type="dxa"/>
            </w:tcMar>
            <w:vAlign w:val="center"/>
          </w:tcPr>
          <w:p w14:paraId="710DA478">
            <w:pPr>
              <w:pStyle w:val="38"/>
              <w:jc w:val="both"/>
              <w:rPr>
                <w:rFonts w:ascii="Arial" w:hAnsi="Arial" w:cs="Arial"/>
              </w:rPr>
            </w:pPr>
          </w:p>
        </w:tc>
        <w:tc>
          <w:tcPr>
            <w:tcW w:w="534" w:type="pct"/>
            <w:tcMar>
              <w:top w:w="0" w:type="dxa"/>
              <w:left w:w="108" w:type="dxa"/>
              <w:bottom w:w="0" w:type="dxa"/>
              <w:right w:w="108" w:type="dxa"/>
            </w:tcMar>
            <w:vAlign w:val="center"/>
          </w:tcPr>
          <w:p w14:paraId="6F31CA29">
            <w:pPr>
              <w:pStyle w:val="38"/>
              <w:jc w:val="center"/>
              <w:rPr>
                <w:rFonts w:ascii="Arial" w:hAnsi="Arial" w:cs="Arial"/>
              </w:rPr>
            </w:pPr>
          </w:p>
        </w:tc>
        <w:tc>
          <w:tcPr>
            <w:tcW w:w="583" w:type="pct"/>
            <w:tcMar>
              <w:top w:w="0" w:type="dxa"/>
              <w:left w:w="108" w:type="dxa"/>
              <w:bottom w:w="0" w:type="dxa"/>
              <w:right w:w="108" w:type="dxa"/>
            </w:tcMar>
            <w:vAlign w:val="center"/>
          </w:tcPr>
          <w:p w14:paraId="2A9D9344">
            <w:pPr>
              <w:pStyle w:val="38"/>
              <w:jc w:val="center"/>
              <w:rPr>
                <w:rFonts w:ascii="Arial" w:hAnsi="Arial" w:cs="Arial"/>
                <w:b/>
              </w:rPr>
            </w:pPr>
          </w:p>
        </w:tc>
        <w:tc>
          <w:tcPr>
            <w:tcW w:w="839" w:type="pct"/>
            <w:tcMar>
              <w:top w:w="0" w:type="dxa"/>
              <w:left w:w="108" w:type="dxa"/>
              <w:bottom w:w="0" w:type="dxa"/>
              <w:right w:w="108" w:type="dxa"/>
            </w:tcMar>
            <w:vAlign w:val="center"/>
          </w:tcPr>
          <w:p w14:paraId="10C8FE9E">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6C294506">
            <w:pPr>
              <w:pStyle w:val="38"/>
              <w:spacing w:after="0" w:line="240" w:lineRule="auto"/>
              <w:jc w:val="right"/>
              <w:rPr>
                <w:rFonts w:ascii="Arial" w:hAnsi="Arial" w:cs="Arial"/>
                <w:b/>
                <w:bCs/>
              </w:rPr>
            </w:pPr>
          </w:p>
        </w:tc>
      </w:tr>
    </w:tbl>
    <w:p w14:paraId="008FD771">
      <w:pPr>
        <w:pStyle w:val="19"/>
        <w:widowControl/>
        <w:tabs>
          <w:tab w:val="left" w:pos="426"/>
        </w:tabs>
        <w:autoSpaceDE/>
        <w:autoSpaceDN/>
        <w:spacing w:before="120" w:after="120" w:line="276" w:lineRule="auto"/>
        <w:ind w:left="0"/>
        <w:jc w:val="both"/>
        <w:rPr>
          <w:rFonts w:ascii="Arial" w:hAnsi="Arial" w:cs="Arial"/>
          <w:iCs/>
        </w:rPr>
      </w:pPr>
    </w:p>
    <w:p w14:paraId="009A52E9">
      <w:pPr>
        <w:pStyle w:val="19"/>
        <w:widowControl/>
        <w:numPr>
          <w:ilvl w:val="1"/>
          <w:numId w:val="3"/>
        </w:numPr>
        <w:tabs>
          <w:tab w:val="left" w:pos="426"/>
        </w:tabs>
        <w:autoSpaceDE/>
        <w:autoSpaceDN/>
        <w:spacing w:before="120" w:after="120" w:line="276" w:lineRule="auto"/>
        <w:ind w:left="0" w:firstLine="0"/>
        <w:jc w:val="both"/>
        <w:rPr>
          <w:rFonts w:ascii="Arial" w:hAnsi="Arial" w:cs="Arial"/>
          <w:iCs/>
        </w:rPr>
      </w:pPr>
      <w:r>
        <w:rPr>
          <w:rFonts w:ascii="Arial" w:hAnsi="Arial" w:cs="Arial"/>
          <w:iCs/>
        </w:rPr>
        <w:t>Vinculam esta contratação, independentemente de transcrição:</w:t>
      </w:r>
    </w:p>
    <w:p w14:paraId="2C0F83C7">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14:paraId="06533B10">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14:paraId="61017206">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14:paraId="61068E89">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14:paraId="560892E7">
      <w:pPr>
        <w:pStyle w:val="19"/>
        <w:widowControl/>
        <w:tabs>
          <w:tab w:val="left" w:pos="426"/>
        </w:tabs>
        <w:autoSpaceDE/>
        <w:autoSpaceDN/>
        <w:spacing w:before="120" w:after="120" w:line="276" w:lineRule="auto"/>
        <w:ind w:left="862"/>
        <w:jc w:val="both"/>
        <w:rPr>
          <w:rFonts w:ascii="Arial" w:hAnsi="Arial" w:cs="Arial"/>
          <w:bCs/>
        </w:rPr>
      </w:pPr>
    </w:p>
    <w:p w14:paraId="5217F258">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14:paraId="130C32F7">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prazo de vigência da contratação é de .............................. contados do(a) ............................., na forma do </w:t>
      </w:r>
      <w:r>
        <w:fldChar w:fldCharType="begin"/>
      </w:r>
      <w:r>
        <w:instrText xml:space="preserve"> HYPERLINK "http://www.planalto.gov.br/ccivil_03/_ato2019-2022/2021/lei/L14133.htm" \l "art105" </w:instrText>
      </w:r>
      <w:r>
        <w:fldChar w:fldCharType="separate"/>
      </w:r>
      <w:r>
        <w:rPr>
          <w:rFonts w:ascii="Arial" w:hAnsi="Arial" w:cs="Arial"/>
        </w:rPr>
        <w:t>artigo 105 da Lei n° 14.133, de 2021</w:t>
      </w:r>
      <w:r>
        <w:rPr>
          <w:rFonts w:ascii="Arial" w:hAnsi="Arial" w:cs="Arial"/>
        </w:rPr>
        <w:fldChar w:fldCharType="end"/>
      </w:r>
      <w:r>
        <w:rPr>
          <w:rFonts w:ascii="Arial" w:hAnsi="Arial" w:cs="Arial"/>
          <w:bCs/>
          <w:iCs/>
        </w:rPr>
        <w:t>.</w:t>
      </w:r>
    </w:p>
    <w:p w14:paraId="5A583B6D">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prazo de vigência será automaticamente prorrogado, independentemente de termo aditivo, quando o objeto não for concluído no período firmado acima, ressalvadas as providências cabíveis no caso de culpa do contratado, previstas neste instrumento.</w:t>
      </w:r>
    </w:p>
    <w:p w14:paraId="23AB25AF">
      <w:pPr>
        <w:pStyle w:val="19"/>
        <w:widowControl/>
        <w:tabs>
          <w:tab w:val="left" w:pos="426"/>
        </w:tabs>
        <w:autoSpaceDE/>
        <w:autoSpaceDN/>
        <w:spacing w:before="120" w:after="120" w:line="276" w:lineRule="auto"/>
        <w:ind w:left="0"/>
        <w:jc w:val="both"/>
        <w:rPr>
          <w:rFonts w:ascii="Arial" w:hAnsi="Arial" w:cs="Arial"/>
          <w:bCs/>
          <w:iCs/>
          <w:color w:val="FF0000"/>
        </w:rPr>
      </w:pPr>
    </w:p>
    <w:p w14:paraId="2BB80613">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14:paraId="00019809">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3.1 </w:t>
      </w:r>
      <w:r>
        <w:rPr>
          <w:rFonts w:hint="default" w:ascii="Arial" w:hAnsi="Arial" w:cs="Arial"/>
          <w:bCs/>
          <w:iCs/>
          <w:u w:val="single"/>
          <w:lang w:val="pt-BR"/>
        </w:rPr>
        <w:t xml:space="preserve">EXECUÇÃO DO OBJETO </w:t>
      </w:r>
    </w:p>
    <w:p w14:paraId="05038134">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 O fornecimento será efetuado em sua totalidade no endereço abaixo, com prazo de entrega não superior a 30 (trinta) dias corridos, contados do recebimento da Nota de Empenho.</w:t>
      </w:r>
    </w:p>
    <w:tbl>
      <w:tblPr>
        <w:tblStyle w:val="61"/>
        <w:tblW w:w="9082" w:type="dxa"/>
        <w:tblInd w:w="1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758"/>
        <w:gridCol w:w="6324"/>
      </w:tblGrid>
      <w:tr w14:paraId="7B7F1D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758" w:type="dxa"/>
            <w:tcBorders>
              <w:left w:val="nil"/>
              <w:right w:val="nil"/>
            </w:tcBorders>
            <w:vAlign w:val="center"/>
          </w:tcPr>
          <w:p w14:paraId="47C23D78">
            <w:pPr>
              <w:pStyle w:val="19"/>
              <w:widowControl/>
              <w:tabs>
                <w:tab w:val="left" w:pos="426"/>
              </w:tabs>
              <w:autoSpaceDE/>
              <w:autoSpaceDN/>
              <w:spacing w:before="120" w:after="120" w:line="276" w:lineRule="auto"/>
              <w:ind w:left="0"/>
              <w:jc w:val="both"/>
              <w:rPr>
                <w:rFonts w:hint="default" w:ascii="Arial" w:hAnsi="Arial" w:cs="Arial"/>
                <w:b/>
                <w:bCs w:val="0"/>
                <w:iCs/>
                <w:lang w:val="pt-BR"/>
              </w:rPr>
            </w:pPr>
            <w:r>
              <w:rPr>
                <w:rFonts w:hint="default" w:ascii="Arial" w:hAnsi="Arial" w:cs="Arial"/>
                <w:b/>
                <w:bCs w:val="0"/>
                <w:iCs/>
                <w:lang w:val="pt-BR"/>
              </w:rPr>
              <w:t>Secretaria requisitante:</w:t>
            </w:r>
          </w:p>
        </w:tc>
        <w:tc>
          <w:tcPr>
            <w:tcW w:w="6324" w:type="dxa"/>
            <w:tcBorders>
              <w:left w:val="nil"/>
              <w:right w:val="nil"/>
            </w:tcBorders>
            <w:vAlign w:val="center"/>
          </w:tcPr>
          <w:p w14:paraId="359C853F">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Secretaria de Proteção e Defesa Civil</w:t>
            </w:r>
          </w:p>
        </w:tc>
      </w:tr>
      <w:tr w14:paraId="63DE10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58" w:type="dxa"/>
            <w:tcBorders>
              <w:left w:val="nil"/>
              <w:right w:val="nil"/>
            </w:tcBorders>
            <w:vAlign w:val="center"/>
          </w:tcPr>
          <w:p w14:paraId="4BABC094">
            <w:pPr>
              <w:pStyle w:val="19"/>
              <w:widowControl/>
              <w:tabs>
                <w:tab w:val="left" w:pos="426"/>
              </w:tabs>
              <w:autoSpaceDE/>
              <w:autoSpaceDN/>
              <w:spacing w:before="120" w:after="120" w:line="276" w:lineRule="auto"/>
              <w:ind w:left="0"/>
              <w:jc w:val="both"/>
              <w:rPr>
                <w:rFonts w:hint="default" w:ascii="Arial" w:hAnsi="Arial" w:cs="Arial"/>
                <w:b/>
                <w:bCs w:val="0"/>
                <w:iCs/>
                <w:lang w:val="pt-BR"/>
              </w:rPr>
            </w:pPr>
            <w:r>
              <w:rPr>
                <w:rFonts w:hint="default" w:ascii="Arial" w:hAnsi="Arial" w:cs="Arial"/>
                <w:b/>
                <w:bCs w:val="0"/>
                <w:iCs/>
                <w:lang w:val="pt-BR"/>
              </w:rPr>
              <w:t>Endereço:</w:t>
            </w:r>
          </w:p>
        </w:tc>
        <w:tc>
          <w:tcPr>
            <w:tcW w:w="6324" w:type="dxa"/>
            <w:tcBorders>
              <w:left w:val="nil"/>
              <w:right w:val="nil"/>
            </w:tcBorders>
            <w:vAlign w:val="center"/>
          </w:tcPr>
          <w:p w14:paraId="4163505A">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Av. Alberto Braune, 223 - Centro - Nova Friburgo - RJ</w:t>
            </w:r>
          </w:p>
        </w:tc>
      </w:tr>
      <w:tr w14:paraId="46131F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58" w:type="dxa"/>
            <w:tcBorders>
              <w:left w:val="nil"/>
              <w:right w:val="nil"/>
            </w:tcBorders>
            <w:vAlign w:val="center"/>
          </w:tcPr>
          <w:p w14:paraId="7BE5A9E4">
            <w:pPr>
              <w:pStyle w:val="19"/>
              <w:widowControl/>
              <w:tabs>
                <w:tab w:val="left" w:pos="426"/>
              </w:tabs>
              <w:autoSpaceDE/>
              <w:autoSpaceDN/>
              <w:spacing w:before="120" w:after="120" w:line="276" w:lineRule="auto"/>
              <w:ind w:left="0"/>
              <w:jc w:val="both"/>
              <w:rPr>
                <w:rFonts w:hint="default" w:ascii="Arial" w:hAnsi="Arial" w:cs="Arial"/>
                <w:b/>
                <w:bCs w:val="0"/>
                <w:iCs/>
                <w:lang w:val="pt-BR"/>
              </w:rPr>
            </w:pPr>
            <w:r>
              <w:rPr>
                <w:rFonts w:hint="default" w:ascii="Arial" w:hAnsi="Arial" w:cs="Arial"/>
                <w:b/>
                <w:bCs w:val="0"/>
                <w:iCs/>
                <w:lang w:val="pt-BR"/>
              </w:rPr>
              <w:t>Horário de entrega:</w:t>
            </w:r>
          </w:p>
        </w:tc>
        <w:tc>
          <w:tcPr>
            <w:tcW w:w="6324" w:type="dxa"/>
            <w:tcBorders>
              <w:left w:val="nil"/>
              <w:right w:val="nil"/>
            </w:tcBorders>
            <w:vAlign w:val="center"/>
          </w:tcPr>
          <w:p w14:paraId="7198BD84">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Segunda a sexta-feira, das 09h às 17h.</w:t>
            </w:r>
          </w:p>
        </w:tc>
      </w:tr>
    </w:tbl>
    <w:p w14:paraId="630185E3">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3.1.2 Os produtos serão recebidos provisoriamente no prazo de 02 (dois) dias úteis, pelo (a) responsável pelo acompanhamento e fiscalização do contrato, para efeito de posterior verificação de sua conformidade com as especificações constantes no Termo de Referência e na proposta;</w:t>
      </w:r>
    </w:p>
    <w:p w14:paraId="28E4BE0F">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3.1.3 Os bens poderão ser rejeitados, no todo ou em parte, quando em desacordo com as especificações constantes no Termo de Referência e na proposta, devendo ser substituídos no prazo de 03 (três) dias, a contar da notificação da CONTRATADA, às suas custas, sem prejuízo da aplicação das penalidades;</w:t>
      </w:r>
    </w:p>
    <w:p w14:paraId="69F4A971">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3.1.4 Os bens serão recebidos definitivamente no prazo de 02 (dois) dias, contados do recebimento provisório, após a verificação da qualidade e quantidade do material e consequente aceitação mediante termo circunstanciado;</w:t>
      </w:r>
    </w:p>
    <w:p w14:paraId="4D447E93">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3.1.5 Na hipótese de a verificação a que se refere o subitem anterior não ser procedida dentro do prazo fixado reputar-se-á como realizada, consumando-se o recebimento definitivo no dia do esgotamento do prazo;</w:t>
      </w:r>
    </w:p>
    <w:p w14:paraId="1609AECD">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3.1.6 O recebimento provisório ou definitivo do objeto não exclui a responsabilidade da CONTRATADA pelos prejuízos resultantes da incorreta execução do contrato.</w:t>
      </w:r>
    </w:p>
    <w:p w14:paraId="1FE1DB18">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3.2 </w:t>
      </w:r>
      <w:r>
        <w:rPr>
          <w:rFonts w:hint="default" w:ascii="Arial" w:hAnsi="Arial" w:cs="Arial"/>
          <w:bCs/>
          <w:iCs/>
          <w:u w:val="single"/>
          <w:lang w:val="pt-BR"/>
        </w:rPr>
        <w:t xml:space="preserve">GESTÃO DO CONTRATO </w:t>
      </w:r>
    </w:p>
    <w:p w14:paraId="537A839C">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 O contrato deverá ser executado fielmente pelas partes, de acordo com as cláusulas avençadas e as normas da Lei nº 14.133, de 2021, e cada parte responderá pelas consequências de sua inexecução total ou parcial.</w:t>
      </w:r>
    </w:p>
    <w:p w14:paraId="6002EB84">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3.2.2 A execução do contrato deverá ser acompanhada e fiscalizada pelo(s) fiscal (is) do contrato, ou pelos respectivos substitutos.</w:t>
      </w:r>
    </w:p>
    <w:p w14:paraId="79F084E6">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3.2.3 O fiscal do contrato anotará em registro próprio todas as ocorrências relacionadas à execução do contrato, determinando o que for necessário para a regularização das faltas ou dos defeitos observados.</w:t>
      </w:r>
    </w:p>
    <w:p w14:paraId="5E936410">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3.2.4 O fiscal do contrato informará a seus superiores, em tempo hábil para a adoção das medidas convenientes, a situação que demandar decisão ou providência que ultrapasse sua competência.</w:t>
      </w:r>
    </w:p>
    <w:p w14:paraId="47F90728">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3.2.5 O contratado será obrigado a reparar, corrigir, remover, reconstruir ou substituir, a suas expensas, no total ou em parte, o objeto do contrato em que se verificarem vícios, defeitos ou incorreções resultantes de sua execução ou de materiais nela empregados.</w:t>
      </w:r>
    </w:p>
    <w:p w14:paraId="2BA96826">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3.2.6 O contratado será responsável pelos danos causados diretamente à Administração ou a terceiros em razão da execução do contrato, e não excluirá nem reduzirá essa responsabilidade a fiscalização ou o acompanhamento pelo contratante.</w:t>
      </w:r>
    </w:p>
    <w:p w14:paraId="6A802092">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3.2.7 Somente o contratado será responsável pelos encargos trabalhistas, previdenciários, fiscais e comerciais resultantes da execução do contrato.</w:t>
      </w:r>
    </w:p>
    <w:p w14:paraId="28A05F44">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3.2.8 A inadimplência do contratado em relação aos encargos trabalhistas, fiscais e comerciais não transferirá à Administração a responsabilidade pelo seu pagamento e não poderá onerar o objeto do contrato (Lei nº 14.133/2021, art. 121, §1º).</w:t>
      </w:r>
    </w:p>
    <w:p w14:paraId="238FCED0">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3.2.9 As comunicações entre o órgão ou entidade e a CONTRATADA devem ser realizadas por escrito sempre que o ato exigir tal formalidade, admitindo-se, excepcionalmente, o uso de mensagem eletrônica para esse fim.</w:t>
      </w:r>
    </w:p>
    <w:p w14:paraId="30996F67">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3.2.10 O órgão ou entidade poderá convocar representante da empresa para adoção de providências que devam ser cumpridas de imediato.</w:t>
      </w:r>
    </w:p>
    <w:p w14:paraId="77AE46C2">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3.2.11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14:paraId="12C186E9">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3.2.12 O acompanhamento, a gestão e a fiscalização da contratação serão exercidos por representantes da Contratante, aos quais competirá dirimir as dúvidas que surgirem no curso da execução do contrato, e de tudo dar ciência à Administração, na forma do disposto no capítulo VI do título III da Lei Federal nº 14.133/21.</w:t>
      </w:r>
    </w:p>
    <w:p w14:paraId="5407B13F">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3.2.13 Para o acompanhamento, gestão e fiscalização da execução do presente contrato, serão designados em momento posterior, antes da execução do objeto, agentes públicos gestor/ gestor substituto e fiscal/fiscal substituto;</w:t>
      </w:r>
    </w:p>
    <w:p w14:paraId="1DF36656">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3.2.14 O (os) fiscal (is) do contrato anotará em registro próprio todas as ocorrências relacionadas com a execução do contrato, indicando dia, mês e ano, determinando o que for necessário à regularização das faltas observadas e encaminhando os apontamentos à autoridade competente para as providências cabíveis;</w:t>
      </w:r>
    </w:p>
    <w:p w14:paraId="70D0A348">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3.2.15 O (os) fiscal (is) designado pela Contratante deverá ter a experiência necessária para o acompanhamento e controle da execução dos serviços e do contrato;</w:t>
      </w:r>
    </w:p>
    <w:p w14:paraId="3641F993">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3.2.16 A fiscalização não exclui nem reduz a responsabilidade da CONTRATADA pelos danos causados à Administração ou a terceiros, decorrentes de sua culpa ou dolo na execução do contrato, não excluindo ou reduzindo essa responsabilidade a fiscalização ou o acompanhamento pelo órgão.</w:t>
      </w:r>
    </w:p>
    <w:p w14:paraId="573DD9EE">
      <w:pPr>
        <w:pStyle w:val="19"/>
        <w:widowControl/>
        <w:tabs>
          <w:tab w:val="left" w:pos="426"/>
        </w:tabs>
        <w:autoSpaceDE/>
        <w:autoSpaceDN/>
        <w:spacing w:before="120" w:after="120" w:line="276" w:lineRule="auto"/>
        <w:ind w:left="0"/>
        <w:jc w:val="both"/>
        <w:rPr>
          <w:rFonts w:hint="default" w:ascii="Arial" w:hAnsi="Arial" w:cs="Arial"/>
          <w:bCs/>
          <w:iCs/>
          <w:lang w:val="pt-BR"/>
        </w:rPr>
      </w:pPr>
    </w:p>
    <w:p w14:paraId="76822D8E">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14:paraId="14DD3F69">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Não será admitida a subcontratação do objeto contratual.</w:t>
      </w:r>
    </w:p>
    <w:p w14:paraId="19220274">
      <w:pPr>
        <w:pStyle w:val="19"/>
        <w:widowControl/>
        <w:tabs>
          <w:tab w:val="left" w:pos="426"/>
        </w:tabs>
        <w:autoSpaceDE/>
        <w:autoSpaceDN/>
        <w:spacing w:before="120" w:after="120" w:line="276" w:lineRule="auto"/>
        <w:ind w:left="0"/>
        <w:jc w:val="both"/>
        <w:rPr>
          <w:rFonts w:ascii="Arial" w:hAnsi="Arial" w:cs="Arial"/>
          <w:bCs/>
          <w:i/>
          <w:iCs/>
          <w:color w:val="FF0000"/>
        </w:rPr>
      </w:pPr>
    </w:p>
    <w:p w14:paraId="65968C57">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14:paraId="7EA5136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total da contratação é de R$.......... (.....)</w:t>
      </w:r>
    </w:p>
    <w:p w14:paraId="71FDF392">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76D77EB3">
      <w:pPr>
        <w:pStyle w:val="19"/>
        <w:widowControl/>
        <w:tabs>
          <w:tab w:val="left" w:pos="426"/>
        </w:tabs>
        <w:autoSpaceDE/>
        <w:autoSpaceDN/>
        <w:spacing w:before="120" w:after="120" w:line="276" w:lineRule="auto"/>
        <w:ind w:left="0"/>
        <w:jc w:val="both"/>
        <w:rPr>
          <w:rFonts w:ascii="Arial" w:hAnsi="Arial" w:cs="Arial"/>
          <w:bCs/>
          <w:i/>
          <w:color w:val="FF0000"/>
        </w:rPr>
      </w:pPr>
    </w:p>
    <w:p w14:paraId="50EB578B">
      <w:pPr>
        <w:pStyle w:val="19"/>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14:paraId="3C877AAA">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6.1 A nota fiscal deverá ser emitida em nome de: </w:t>
      </w:r>
      <w:r>
        <w:rPr>
          <w:rFonts w:hint="default" w:ascii="Arial" w:hAnsi="Arial" w:cs="Arial" w:eastAsiaTheme="majorEastAsia"/>
          <w:b/>
          <w:bCs/>
          <w:lang w:val="en-US" w:eastAsia="pt-BR"/>
        </w:rPr>
        <w:t>FUNDO DE COMBATE AS SITUAÇÕES DE EMERGÊNCIA E/OU CALAMIDADE PÚBLICA, CNPJ 13.507.490/0001-69 ENDEREÇO: AVENIDA ALBERTO BRAUNE, 225, CENTRO, NOVA FRIBURGO - RJ, CEP: 28613-001</w:t>
      </w:r>
      <w:r>
        <w:rPr>
          <w:rFonts w:hint="default" w:ascii="Arial" w:hAnsi="Arial" w:cs="Arial" w:eastAsiaTheme="majorEastAsia"/>
          <w:b w:val="0"/>
          <w:bCs w:val="0"/>
          <w:lang w:val="en-US" w:eastAsia="pt-BR"/>
        </w:rPr>
        <w:t>.</w:t>
      </w:r>
    </w:p>
    <w:p w14:paraId="61486968">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6.2 O veículo deverá ser entregue à </w:t>
      </w:r>
      <w:r>
        <w:rPr>
          <w:rFonts w:hint="default" w:ascii="Arial" w:hAnsi="Arial" w:cs="Arial" w:eastAsiaTheme="majorEastAsia"/>
          <w:b/>
          <w:bCs/>
          <w:lang w:val="en-US" w:eastAsia="pt-BR"/>
        </w:rPr>
        <w:t>SECRETARIA DE PROTEÇÃO E DEFESA CIVIL,</w:t>
      </w:r>
      <w:r>
        <w:rPr>
          <w:rFonts w:hint="default" w:ascii="Arial" w:hAnsi="Arial" w:cs="Arial" w:eastAsiaTheme="majorEastAsia"/>
          <w:b w:val="0"/>
          <w:bCs w:val="0"/>
          <w:lang w:val="en-US" w:eastAsia="pt-BR"/>
        </w:rPr>
        <w:t xml:space="preserve"> situada à Avenida Alberto Braune, 223 – Centro, Nova Friburgo-RJ.</w:t>
      </w:r>
    </w:p>
    <w:p w14:paraId="7FE33EAB">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6.3 </w:t>
      </w:r>
      <w:r>
        <w:rPr>
          <w:rFonts w:hint="default" w:ascii="Arial" w:hAnsi="Arial" w:cs="Arial" w:eastAsiaTheme="majorEastAsia"/>
          <w:b w:val="0"/>
          <w:bCs w:val="0"/>
          <w:u w:val="single"/>
          <w:lang w:val="en-US" w:eastAsia="pt-BR"/>
        </w:rPr>
        <w:t>DA LIQUIDAÇÃO DA DESPESA</w:t>
      </w:r>
    </w:p>
    <w:p w14:paraId="43DBE894">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6.3.1 A liquidação será realizada pela Secretaria de Fazenda, a partir do cumprimento das obrigações elencadas no Termo de Referência, em obediência ao Decreto Municipal 2.493/2023 e suas alterações disposto no Decreto Municipal nº 3.116/2024.</w:t>
      </w:r>
    </w:p>
    <w:p w14:paraId="2CD4DE92">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6.3.2 Deverá ser observado no momento da emissão do Documento Fiscal e na liquidação da despesa os dispositivos do Decreto Municipal nº 2480/2023, o qual dispõe sobre a arrecadação do Imposto de Renda incidente na fonte de que trata o art. 157, inciso I, da Constituição Federal, nos pagamentos a pessoas jurídicas efetuados por órgãos, Fundos e Fundação instituída e mantida pelo Município, observando ainda as regras aplicáveis ao Imposto de Renda incidente na fonte estabelecidas pelo art. 64 da Lei Federal nº 9.430, de 27 de dezembro de 1996, e pela Instrução Normativa da Receita Federal do Brasil nº 1.234, de 11 de janeiro de 2012. </w:t>
      </w:r>
      <w:r>
        <w:rPr>
          <w:rFonts w:hint="default" w:ascii="Arial" w:hAnsi="Arial" w:cs="Arial" w:eastAsiaTheme="majorEastAsia"/>
          <w:b w:val="0"/>
          <w:bCs w:val="0"/>
          <w:lang w:val="en-US" w:eastAsia="pt-BR"/>
        </w:rPr>
        <w:fldChar w:fldCharType="begin"/>
      </w:r>
      <w:r>
        <w:rPr>
          <w:rFonts w:hint="default" w:ascii="Arial" w:hAnsi="Arial" w:cs="Arial" w:eastAsiaTheme="majorEastAsia"/>
          <w:b w:val="0"/>
          <w:bCs w:val="0"/>
          <w:lang w:val="en-US" w:eastAsia="pt-BR"/>
        </w:rPr>
        <w:instrText xml:space="preserve"> HYPERLINK "https://pmnf.rj.gov.br/paginas-centralizadas/9_64_Legislacoes.html" </w:instrText>
      </w:r>
      <w:r>
        <w:rPr>
          <w:rFonts w:hint="default" w:ascii="Arial" w:hAnsi="Arial" w:cs="Arial" w:eastAsiaTheme="majorEastAsia"/>
          <w:b w:val="0"/>
          <w:bCs w:val="0"/>
          <w:lang w:val="en-US" w:eastAsia="pt-BR"/>
        </w:rPr>
        <w:fldChar w:fldCharType="separate"/>
      </w:r>
      <w:r>
        <w:rPr>
          <w:rFonts w:hint="default" w:ascii="Arial" w:hAnsi="Arial" w:cs="Arial" w:eastAsiaTheme="majorEastAsia"/>
          <w:b w:val="0"/>
          <w:bCs w:val="0"/>
          <w:lang w:val="en-US" w:eastAsia="pt-BR"/>
        </w:rPr>
        <w:t>https://pmnf.rj.gov.br/paginas-centralizadas/9_64_Legislacoes.html</w:t>
      </w:r>
      <w:r>
        <w:rPr>
          <w:rFonts w:hint="default" w:ascii="Arial" w:hAnsi="Arial" w:cs="Arial" w:eastAsiaTheme="majorEastAsia"/>
          <w:b w:val="0"/>
          <w:bCs w:val="0"/>
          <w:lang w:val="en-US" w:eastAsia="pt-BR"/>
        </w:rPr>
        <w:fldChar w:fldCharType="end"/>
      </w:r>
    </w:p>
    <w:p w14:paraId="539E106E">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6.4 </w:t>
      </w:r>
      <w:r>
        <w:rPr>
          <w:rFonts w:hint="default" w:ascii="Arial" w:hAnsi="Arial" w:cs="Arial" w:eastAsiaTheme="majorEastAsia"/>
          <w:b w:val="0"/>
          <w:bCs w:val="0"/>
          <w:u w:val="single"/>
          <w:lang w:val="en-US" w:eastAsia="pt-BR"/>
        </w:rPr>
        <w:t>DO PAGAMENTO DA DESPESA</w:t>
      </w:r>
    </w:p>
    <w:p w14:paraId="371B2A48">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6.4.1 O pagamento será efetuado conforme estabelece o Decreto Municipal nº 2.493, de 07 de novembro de 2023, desde que as certidões listadas abaixo estejam dentro da validade:</w:t>
      </w:r>
    </w:p>
    <w:p w14:paraId="48030BFE">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Negativa de Débitos Trabalhistas;</w:t>
      </w:r>
    </w:p>
    <w:p w14:paraId="28EDAF1A">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Fazenda Federal – abrange as contribuições sociais;</w:t>
      </w:r>
    </w:p>
    <w:p w14:paraId="070B8143">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FGTS;</w:t>
      </w:r>
    </w:p>
    <w:p w14:paraId="6DA98946">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PGE – referente à Dívida Ativa Estadual;</w:t>
      </w:r>
    </w:p>
    <w:p w14:paraId="75F664F1">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Municipal – referente ao ISS e Dívida Ativa;</w:t>
      </w:r>
    </w:p>
    <w:p w14:paraId="3CB4561B">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Estadual CND – referente ao ICMS.</w:t>
      </w:r>
    </w:p>
    <w:p w14:paraId="58FF6E8C">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6.4.2 A Nota Fiscal deverá conter a identificação do Banco, número da agência e Conta Corrente, para que possibilite o CONTRATANTE efetuar o pagamento do valor devido;</w:t>
      </w:r>
    </w:p>
    <w:p w14:paraId="5C2FB5BA">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6.4.3 Na ocorrência de rejeição da(s)  (s) Fical (is), motivada por erro ou incorreções, o prazo para pagamento estipulado acima passará a ser contado a partir da data de sua reapresentação.</w:t>
      </w:r>
    </w:p>
    <w:p w14:paraId="77BED411">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6.4.4 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14:paraId="58AFCC10">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6.4.5 O pagamento será efetuado pelo Município de Nova Friburgo mediante crédito em conta-corrente da CONTRATADA, até o 30º (trigésimo) dia corrido, a contar da atestação da Nota Fiscal apresentada pela CONTRATADA, desde que cumpridas as formalidades legais e contratuais previstas, e de acordo com o Decreto Municipal nº 2493, de 07 de novembro de 2023.</w:t>
      </w:r>
    </w:p>
    <w:p w14:paraId="07B473AE">
      <w:pPr>
        <w:pStyle w:val="19"/>
        <w:tabs>
          <w:tab w:val="left" w:pos="284"/>
        </w:tabs>
        <w:spacing w:line="276" w:lineRule="auto"/>
        <w:ind w:left="0"/>
        <w:jc w:val="both"/>
        <w:rPr>
          <w:rFonts w:hint="default" w:ascii="Arial" w:hAnsi="Arial" w:cs="Arial" w:eastAsiaTheme="majorEastAsia"/>
          <w:b/>
          <w:bCs/>
          <w:lang w:val="en-US" w:eastAsia="pt-BR"/>
        </w:rPr>
      </w:pPr>
    </w:p>
    <w:p w14:paraId="0D1C748E">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SÉTIMA - REAJUSTE (art. 92, V)</w:t>
      </w:r>
    </w:p>
    <w:p w14:paraId="370F8B18">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Os preços inicialmente contratados são fixos e irreajustáveis no prazo de um ano contado da data do orçamento estimado, em __/__/__ (DD/MM/AAAA).</w:t>
      </w:r>
    </w:p>
    <w:p w14:paraId="5F90F00D">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color w:val="auto"/>
        </w:rPr>
        <w:t xml:space="preserve">Após o interregno de um ano, e independentemente de pedido do contratado, os preços iniciais serão reajustados, mediante a aplicação, pelo contratante, </w:t>
      </w:r>
      <w:r>
        <w:rPr>
          <w:rFonts w:ascii="Arial" w:hAnsi="Arial" w:cs="Arial"/>
          <w:bCs/>
          <w:iCs/>
          <w:color w:val="auto"/>
          <w:lang w:val="pt-BR"/>
        </w:rPr>
        <w:t>do Índice Nacional de Preços ao Consumidor Amplo (IPCA), instituído pelo Instituto</w:t>
      </w:r>
      <w:r>
        <w:rPr>
          <w:rFonts w:ascii="Arial" w:hAnsi="Arial" w:cs="Arial"/>
          <w:bCs/>
          <w:iCs/>
          <w:lang w:val="pt-BR"/>
        </w:rPr>
        <w:t xml:space="preserve"> Brasileiro de Geografia e Estatística (IBGE)</w:t>
      </w:r>
      <w:r>
        <w:rPr>
          <w:rFonts w:ascii="Arial" w:hAnsi="Arial" w:cs="Arial"/>
          <w:bCs/>
          <w:iCs/>
        </w:rPr>
        <w:t>, exclusivamente para as obrigações iniciadas e concluídas após a ocorrência da anualidade.</w:t>
      </w:r>
    </w:p>
    <w:p w14:paraId="3D4798AA">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14:paraId="15600EE8">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7DC4F00D">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Nas aferições finais, o(s) índice(s) utilizado(s) para reajuste será(ão), obrigatoriamente, o(s) definitivo(s).</w:t>
      </w:r>
    </w:p>
    <w:p w14:paraId="29F16B18">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14:paraId="6113C26C">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14:paraId="72FA14C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reajuste será realizado por apostilamento.</w:t>
      </w:r>
    </w:p>
    <w:p w14:paraId="09330C7B">
      <w:pPr>
        <w:widowControl/>
        <w:tabs>
          <w:tab w:val="left" w:pos="426"/>
        </w:tabs>
        <w:autoSpaceDE/>
        <w:autoSpaceDN/>
        <w:spacing w:before="120" w:after="120" w:line="276" w:lineRule="auto"/>
        <w:jc w:val="both"/>
        <w:rPr>
          <w:rFonts w:ascii="Arial" w:hAnsi="Arial" w:cs="Arial"/>
          <w:bCs/>
          <w:i/>
          <w:color w:val="FF0000"/>
        </w:rPr>
      </w:pPr>
    </w:p>
    <w:p w14:paraId="25F76937">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5BCA4A5B">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14:paraId="12FCDBD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14:paraId="55B2F01C">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14:paraId="181C196C">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14:paraId="6406E044">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14:paraId="7C0C8F7D">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14:paraId="3D767AE9">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14:paraId="696B0E34">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14:paraId="2806DA9E">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CAAC3A1">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14:paraId="231E411C">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14:paraId="795E9DAC">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54F1457">
      <w:pPr>
        <w:pStyle w:val="19"/>
        <w:widowControl/>
        <w:tabs>
          <w:tab w:val="left" w:pos="426"/>
        </w:tabs>
        <w:autoSpaceDE/>
        <w:autoSpaceDN/>
        <w:spacing w:before="120" w:after="120" w:line="276" w:lineRule="auto"/>
        <w:ind w:left="862"/>
        <w:jc w:val="both"/>
        <w:rPr>
          <w:rFonts w:ascii="Arial" w:hAnsi="Arial" w:cs="Arial"/>
          <w:bCs/>
          <w:iCs/>
          <w:lang w:val="pt-BR"/>
        </w:rPr>
      </w:pPr>
    </w:p>
    <w:p w14:paraId="77F1CD18">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14:paraId="4F44B638">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14:paraId="6861C5DD">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1C95269C">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bCs/>
          <w:iCs/>
          <w:lang w:val="pt-BR"/>
        </w:rPr>
        <w:t>Responsabilizar</w:t>
      </w:r>
      <w:r>
        <w:rPr>
          <w:rFonts w:ascii="Arial" w:hAnsi="Arial" w:cs="Arial"/>
        </w:rPr>
        <w:t>-se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9"/>
          <w:rFonts w:ascii="Arial" w:hAnsi="Arial" w:cs="Arial"/>
        </w:rPr>
        <w:t>Lei nº 8.078, de 1990</w:t>
      </w:r>
      <w:r>
        <w:rPr>
          <w:rStyle w:val="9"/>
          <w:rFonts w:ascii="Arial" w:hAnsi="Arial" w:cs="Arial"/>
        </w:rPr>
        <w:fldChar w:fldCharType="end"/>
      </w:r>
      <w:r>
        <w:rPr>
          <w:rFonts w:ascii="Arial" w:hAnsi="Arial" w:cs="Arial"/>
        </w:rPr>
        <w:t>);</w:t>
      </w:r>
    </w:p>
    <w:p w14:paraId="03212D72">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contratante, no prazo máximo de 24 (vinte e quatro) horas que antecede a data da entrega, os motivos que impossibilitem o cumprimento do prazo previsto, com a devida comprovação</w:t>
      </w:r>
    </w:p>
    <w:p w14:paraId="3C02223C">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Atender </w:t>
      </w:r>
      <w:r>
        <w:rPr>
          <w:rFonts w:ascii="Arial" w:hAnsi="Arial" w:cs="Arial"/>
        </w:rPr>
        <w:t>às</w:t>
      </w:r>
      <w:r>
        <w:rPr>
          <w:rFonts w:ascii="Arial" w:hAnsi="Arial" w:cs="Arial"/>
          <w:color w:val="000000" w:themeColor="text1"/>
          <w14:textFill>
            <w14:solidFill>
              <w14:schemeClr w14:val="tx1"/>
            </w14:solidFill>
          </w14:textFill>
        </w:rPr>
        <w:t xml:space="preserve"> determinações regulares emitidas </w:t>
      </w:r>
      <w:r>
        <w:rPr>
          <w:rFonts w:ascii="Arial" w:hAnsi="Arial" w:cs="Arial"/>
          <w:bCs/>
          <w:iCs/>
          <w:lang w:val="pt-BR"/>
        </w:rPr>
        <w:t>pelo</w:t>
      </w:r>
      <w:r>
        <w:rPr>
          <w:rFonts w:ascii="Arial" w:hAnsi="Arial" w:cs="Arial"/>
          <w:color w:val="000000" w:themeColor="text1"/>
          <w14:textFill>
            <w14:solidFill>
              <w14:schemeClr w14:val="tx1"/>
            </w14:solidFill>
          </w14:textFill>
        </w:rPr>
        <w:t xml:space="preserve"> fiscal ou gestor do contrato ou autoridade superior (</w:t>
      </w:r>
      <w:r>
        <w:fldChar w:fldCharType="begin"/>
      </w:r>
      <w:r>
        <w:instrText xml:space="preserve"> HYPERLINK "http://www.planalto.gov.br/ccivil_03/_ato2019-2022/2021/lei/L14133.htm" \l "art137" </w:instrText>
      </w:r>
      <w:r>
        <w:fldChar w:fldCharType="separate"/>
      </w:r>
      <w:r>
        <w:rPr>
          <w:rStyle w:val="9"/>
          <w:rFonts w:ascii="Arial" w:hAnsi="Arial" w:cs="Arial"/>
        </w:rPr>
        <w:t>art. 137, II, da Lei n.º 14.133, de 2021</w:t>
      </w:r>
      <w:r>
        <w:rPr>
          <w:rStyle w:val="9"/>
          <w:rFonts w:ascii="Arial" w:hAnsi="Arial" w:cs="Arial"/>
        </w:rPr>
        <w:fldChar w:fldCharType="end"/>
      </w:r>
      <w:r>
        <w:rPr>
          <w:rFonts w:ascii="Arial" w:hAnsi="Arial" w:cs="Arial"/>
          <w:color w:val="000000" w:themeColor="text1"/>
          <w14:textFill>
            <w14:solidFill>
              <w14:schemeClr w14:val="tx1"/>
            </w14:solidFill>
          </w14:textFill>
        </w:rPr>
        <w:t xml:space="preserve">) e </w:t>
      </w:r>
      <w:r>
        <w:rPr>
          <w:rFonts w:ascii="Arial" w:hAnsi="Arial" w:cs="Arial"/>
        </w:rPr>
        <w:t>prestar todo esclarecimento ou informação por eles solicitados</w:t>
      </w:r>
      <w:r>
        <w:rPr>
          <w:rFonts w:ascii="Arial" w:hAnsi="Arial" w:cs="Arial"/>
          <w:color w:val="000000" w:themeColor="text1"/>
          <w14:textFill>
            <w14:solidFill>
              <w14:schemeClr w14:val="tx1"/>
            </w14:solidFill>
          </w14:textFill>
        </w:rPr>
        <w:t>;</w:t>
      </w:r>
    </w:p>
    <w:p w14:paraId="3CC06F08">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Reparar, corrigir, remover, reconstruir ou substituir, às suas expensas, no total ou em parte, no prazo fixado pelo fiscal do contrato, os bens nos quais se verificarem vícios, defeitos ou incorreções resultantes da execução ou dos materiais empregados;</w:t>
      </w:r>
    </w:p>
    <w:p w14:paraId="35B4198C">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6895E2B0">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77E723E4">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Responsabilizar-se pelo cumprimento de todas as obrigações trabalhistas, previdenciárias, fiscais, comerciais e as </w:t>
      </w:r>
      <w:r>
        <w:rPr>
          <w:rFonts w:ascii="Arial" w:hAnsi="Arial" w:cs="Arial"/>
          <w:bCs/>
          <w:iCs/>
          <w:lang w:val="pt-BR"/>
        </w:rPr>
        <w:t>demais</w:t>
      </w:r>
      <w:r>
        <w:rPr>
          <w:rFonts w:ascii="Arial" w:hAnsi="Arial" w:cs="Arial"/>
        </w:rPr>
        <w:t xml:space="preserve"> previstas em legislação específica, cuja inadimplência não transfere a responsabilidade ao contratante e não poderá onerar o objeto do contrato;</w:t>
      </w:r>
    </w:p>
    <w:p w14:paraId="2D7D2CFA">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Comunicar ao Fiscal do contrato, no prazo de 24 (vinte e quatro) horas, qualquer ocorrência anormal ou acidente que se verifique no local da execução do objeto contratual.</w:t>
      </w:r>
    </w:p>
    <w:p w14:paraId="242759CB">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14:paraId="2DE6578D">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Manter durante toda a vigência do contrato, em compatibilidade com as obrigações assumidas, todas as condições exigidas para habilitação na licitação; </w:t>
      </w:r>
    </w:p>
    <w:p w14:paraId="1737D33C">
      <w:pPr>
        <w:pStyle w:val="45"/>
        <w:numPr>
          <w:ilvl w:val="1"/>
          <w:numId w:val="3"/>
        </w:numPr>
        <w:rPr>
          <w:b/>
          <w:bCs/>
          <w:sz w:val="22"/>
          <w:szCs w:val="22"/>
        </w:rPr>
      </w:pPr>
      <w:r>
        <w:rPr>
          <w:sz w:val="22"/>
          <w:szCs w:val="22"/>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9"/>
          <w:sz w:val="22"/>
          <w:szCs w:val="22"/>
        </w:rPr>
        <w:t>art. 116, da Lei n.º 14.133, de 2021</w:t>
      </w:r>
      <w:r>
        <w:rPr>
          <w:rStyle w:val="9"/>
          <w:sz w:val="22"/>
          <w:szCs w:val="22"/>
        </w:rPr>
        <w:fldChar w:fldCharType="end"/>
      </w:r>
      <w:r>
        <w:rPr>
          <w:sz w:val="22"/>
          <w:szCs w:val="22"/>
        </w:rPr>
        <w:t>);</w:t>
      </w:r>
    </w:p>
    <w:p w14:paraId="7FE23D9F">
      <w:pPr>
        <w:pStyle w:val="45"/>
        <w:numPr>
          <w:ilvl w:val="1"/>
          <w:numId w:val="3"/>
        </w:numPr>
        <w:rPr>
          <w:sz w:val="22"/>
          <w:szCs w:val="22"/>
        </w:rPr>
      </w:pPr>
      <w:r>
        <w:rPr>
          <w:sz w:val="22"/>
          <w:szCs w:val="22"/>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9"/>
          <w:sz w:val="22"/>
          <w:szCs w:val="22"/>
        </w:rPr>
        <w:t>art. 116, parágrafo único, da Lei n.º 14.133, de 2021</w:t>
      </w:r>
      <w:r>
        <w:rPr>
          <w:rStyle w:val="9"/>
          <w:sz w:val="22"/>
          <w:szCs w:val="22"/>
        </w:rPr>
        <w:fldChar w:fldCharType="end"/>
      </w:r>
      <w:r>
        <w:rPr>
          <w:sz w:val="22"/>
          <w:szCs w:val="22"/>
        </w:rPr>
        <w:t>);</w:t>
      </w:r>
    </w:p>
    <w:p w14:paraId="68AC54DE">
      <w:pPr>
        <w:pStyle w:val="45"/>
        <w:numPr>
          <w:ilvl w:val="1"/>
          <w:numId w:val="3"/>
        </w:numPr>
        <w:rPr>
          <w:sz w:val="22"/>
          <w:szCs w:val="22"/>
        </w:rPr>
      </w:pPr>
      <w:r>
        <w:rPr>
          <w:sz w:val="22"/>
          <w:szCs w:val="22"/>
        </w:rPr>
        <w:t xml:space="preserve">Guardar sigilo sobre todas as informações obtidas em decorrência do cumprimento do contrato; </w:t>
      </w:r>
    </w:p>
    <w:p w14:paraId="44A7D32C">
      <w:pPr>
        <w:pStyle w:val="45"/>
        <w:numPr>
          <w:ilvl w:val="1"/>
          <w:numId w:val="3"/>
        </w:numPr>
        <w:rPr>
          <w:sz w:val="22"/>
          <w:szCs w:val="22"/>
        </w:rPr>
      </w:pPr>
      <w:r>
        <w:rPr>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Style w:val="9"/>
          <w:sz w:val="22"/>
          <w:szCs w:val="22"/>
        </w:rPr>
        <w:t>art. 124, II, d, da Lei nº 14.133, de 2021.</w:t>
      </w:r>
      <w:r>
        <w:rPr>
          <w:rStyle w:val="9"/>
          <w:sz w:val="22"/>
          <w:szCs w:val="22"/>
        </w:rPr>
        <w:fldChar w:fldCharType="end"/>
      </w:r>
    </w:p>
    <w:p w14:paraId="3EF71112">
      <w:pPr>
        <w:pStyle w:val="45"/>
        <w:numPr>
          <w:ilvl w:val="1"/>
          <w:numId w:val="3"/>
        </w:numPr>
        <w:rPr>
          <w:sz w:val="22"/>
          <w:szCs w:val="22"/>
        </w:rPr>
      </w:pPr>
      <w:r>
        <w:rPr>
          <w:sz w:val="22"/>
          <w:szCs w:val="22"/>
        </w:rPr>
        <w:t>Cumprir, além dos postulados legais vigentes de âmbito federal, estadual ou municipal, as normas de segurança do contratante.</w:t>
      </w:r>
    </w:p>
    <w:p w14:paraId="32E75557">
      <w:pPr>
        <w:pStyle w:val="19"/>
        <w:tabs>
          <w:tab w:val="left" w:pos="284"/>
        </w:tabs>
        <w:spacing w:line="276" w:lineRule="auto"/>
        <w:ind w:left="0"/>
        <w:rPr>
          <w:rFonts w:ascii="Arial" w:hAnsi="Arial" w:cs="Arial" w:eastAsiaTheme="majorEastAsia"/>
          <w:b/>
          <w:bCs/>
          <w:lang w:val="pt-BR" w:eastAsia="pt-BR"/>
        </w:rPr>
      </w:pPr>
    </w:p>
    <w:p w14:paraId="60054E8C">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 GARANTIA DE EXECUÇÃO (art. 92, XII)</w:t>
      </w:r>
    </w:p>
    <w:p w14:paraId="72BE2EAC">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  Não haverá exigência de garantia contratual da execução.</w:t>
      </w:r>
    </w:p>
    <w:p w14:paraId="1B5482C3">
      <w:pPr>
        <w:pStyle w:val="19"/>
        <w:widowControl/>
        <w:tabs>
          <w:tab w:val="left" w:pos="426"/>
        </w:tabs>
        <w:autoSpaceDE/>
        <w:autoSpaceDN/>
        <w:spacing w:before="120" w:after="120" w:line="276" w:lineRule="auto"/>
        <w:ind w:left="0"/>
        <w:jc w:val="both"/>
        <w:rPr>
          <w:rFonts w:ascii="Arial" w:hAnsi="Arial" w:cs="Arial"/>
          <w:bCs/>
          <w:i/>
          <w:color w:val="FF0000"/>
          <w:lang w:val="pt-BR"/>
        </w:rPr>
      </w:pPr>
    </w:p>
    <w:p w14:paraId="59EA201A">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245608B4">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rFonts w:ascii="Arial" w:hAnsi="Arial" w:cs="Arial"/>
          <w:bCs/>
          <w:iCs/>
          <w:lang w:val="pt-BR"/>
        </w:rPr>
        <w:t>Lei nº 14.133, de 2021</w:t>
      </w:r>
      <w:r>
        <w:rPr>
          <w:rFonts w:ascii="Arial" w:hAnsi="Arial" w:cs="Arial"/>
          <w:bCs/>
          <w:iCs/>
          <w:lang w:val="pt-BR"/>
        </w:rPr>
        <w:fldChar w:fldCharType="end"/>
      </w:r>
      <w:r>
        <w:rPr>
          <w:rFonts w:ascii="Arial" w:hAnsi="Arial" w:cs="Arial"/>
          <w:bCs/>
          <w:iCs/>
          <w:lang w:val="pt-BR"/>
        </w:rPr>
        <w:t>, o contratado que:</w:t>
      </w:r>
    </w:p>
    <w:p w14:paraId="31FC1032">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14:paraId="2DE4862F">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14:paraId="2C379037">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14:paraId="1EF6631A">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14:paraId="74648DC6">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14:paraId="0B3DAC0E">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14:paraId="6F91E403">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14:paraId="1F3CFC1E">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14:paraId="4826CC53">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14:paraId="51AF7D0B">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3" w:name="_Hlk114504069"/>
      <w:r>
        <w:rPr>
          <w:rStyle w:val="9"/>
          <w:rFonts w:ascii="Arial" w:hAnsi="Arial" w:eastAsia="Arial" w:cs="Arial"/>
        </w:rPr>
        <w:t>Lei nº 14.133, de 2021</w:t>
      </w:r>
      <w:bookmarkEnd w:id="3"/>
      <w:r>
        <w:rPr>
          <w:rStyle w:val="9"/>
          <w:rFonts w:ascii="Arial" w:hAnsi="Arial" w:eastAsia="Arial" w:cs="Arial"/>
        </w:rPr>
        <w:fldChar w:fldCharType="end"/>
      </w:r>
      <w:r>
        <w:rPr>
          <w:rFonts w:ascii="Arial" w:hAnsi="Arial" w:eastAsia="Arial" w:cs="Arial"/>
        </w:rPr>
        <w:t>);</w:t>
      </w:r>
    </w:p>
    <w:p w14:paraId="41FF5F66">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14:paraId="60009B75">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14:paraId="26DB85DD">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14:paraId="7D659A71">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14:paraId="27ED5E34">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11.1, de 15% a 30% do valor do Contrato.</w:t>
      </w:r>
    </w:p>
    <w:p w14:paraId="39AE9E90">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11.1, de 15%  do valor do Contrato. </w:t>
      </w:r>
    </w:p>
    <w:p w14:paraId="0BEF6CBE">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11.1, a multa será de 15%  do valor do Contrato.</w:t>
      </w:r>
    </w:p>
    <w:p w14:paraId="23A263C5">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11.1, a multa será de 5% a 10%  do valor do Contrato.</w:t>
      </w:r>
    </w:p>
    <w:p w14:paraId="0349427C">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11.1, a multa será de 05% a 15% do valor do Contrato, ressalvadas as seguintes infrações:</w:t>
      </w:r>
    </w:p>
    <w:p w14:paraId="44D87B4D">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9"/>
          <w:rFonts w:ascii="Arial" w:hAnsi="Arial" w:cs="Arial"/>
        </w:rPr>
        <w:t>art. 156, §9º, da Lei nº 14.133, de 2021</w:t>
      </w:r>
      <w:r>
        <w:rPr>
          <w:rStyle w:val="9"/>
          <w:rFonts w:ascii="Arial" w:hAnsi="Arial" w:cs="Arial"/>
        </w:rPr>
        <w:fldChar w:fldCharType="end"/>
      </w:r>
      <w:r>
        <w:rPr>
          <w:rFonts w:ascii="Arial" w:hAnsi="Arial" w:cs="Arial"/>
        </w:rPr>
        <w:t>)</w:t>
      </w:r>
    </w:p>
    <w:p w14:paraId="62894721">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9"/>
          <w:rFonts w:ascii="Arial" w:hAnsi="Arial" w:cs="Arial"/>
        </w:rPr>
        <w:t>art. 156, §7º, da Lei nº 14.133, de 2021</w:t>
      </w:r>
      <w:r>
        <w:rPr>
          <w:rStyle w:val="9"/>
          <w:rFonts w:ascii="Arial" w:hAnsi="Arial" w:cs="Arial"/>
        </w:rPr>
        <w:fldChar w:fldCharType="end"/>
      </w:r>
      <w:r>
        <w:rPr>
          <w:rFonts w:ascii="Arial" w:hAnsi="Arial" w:cs="Arial"/>
        </w:rPr>
        <w:t>).</w:t>
      </w:r>
    </w:p>
    <w:p w14:paraId="2130EC3E">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9"/>
          <w:rFonts w:ascii="Arial" w:hAnsi="Arial" w:cs="Arial"/>
        </w:rPr>
        <w:t>art. 157, da Lei nº 14.133, de 2021</w:t>
      </w:r>
      <w:r>
        <w:rPr>
          <w:rStyle w:val="9"/>
          <w:rFonts w:ascii="Arial" w:hAnsi="Arial" w:cs="Arial"/>
        </w:rPr>
        <w:fldChar w:fldCharType="end"/>
      </w:r>
      <w:r>
        <w:rPr>
          <w:rFonts w:ascii="Arial" w:hAnsi="Arial" w:cs="Arial"/>
        </w:rPr>
        <w:t>)</w:t>
      </w:r>
    </w:p>
    <w:p w14:paraId="630305A6">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9"/>
          <w:rFonts w:ascii="Arial" w:hAnsi="Arial" w:cs="Arial"/>
        </w:rPr>
        <w:t>art. 156, §8º, da Lei nº 14.133, de 2021</w:t>
      </w:r>
      <w:r>
        <w:rPr>
          <w:rStyle w:val="9"/>
          <w:rFonts w:ascii="Arial" w:hAnsi="Arial" w:cs="Arial"/>
        </w:rPr>
        <w:fldChar w:fldCharType="end"/>
      </w:r>
      <w:r>
        <w:rPr>
          <w:rFonts w:ascii="Arial" w:hAnsi="Arial" w:cs="Arial"/>
        </w:rPr>
        <w:t>).</w:t>
      </w:r>
    </w:p>
    <w:p w14:paraId="6097CED6">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Previamente ao encaminhamento à cobrança judicial, a multa poderá ser recolhida administrativamente no prazo máximo de </w:t>
      </w:r>
      <w:r>
        <w:rPr>
          <w:rFonts w:ascii="Arial" w:hAnsi="Arial" w:cs="Arial"/>
          <w:i/>
          <w:iCs/>
        </w:rPr>
        <w:t xml:space="preserve">30 (trinta) </w:t>
      </w:r>
      <w:r>
        <w:rPr>
          <w:rFonts w:ascii="Arial" w:hAnsi="Arial" w:cs="Arial"/>
        </w:rPr>
        <w:t>dias, a contar da data do recebimento da comunicação enviada pela autoridade competente.</w:t>
      </w:r>
    </w:p>
    <w:p w14:paraId="76437734">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A aplicação das sanções realizar-se-á em processo administrativo que assegure o contraditório e a ampla defesa ao Contratado, observando-se o procedimento previsto no </w:t>
      </w:r>
      <w:r>
        <w:rPr>
          <w:rFonts w:ascii="Arial" w:hAnsi="Arial" w:cs="Arial"/>
          <w:b/>
          <w:bCs/>
        </w:rPr>
        <w:t xml:space="preserve">caput </w:t>
      </w:r>
      <w:r>
        <w:rPr>
          <w:rFonts w:ascii="Arial" w:hAnsi="Arial" w:cs="Arial"/>
        </w:rPr>
        <w:t xml:space="preserve">e parágrafos do </w:t>
      </w:r>
      <w:r>
        <w:fldChar w:fldCharType="begin"/>
      </w:r>
      <w:r>
        <w:instrText xml:space="preserve"> HYPERLINK "http://www.planalto.gov.br/ccivil_03/_ato2019-2022/2021/lei/L14133.htm" \l "art158" </w:instrText>
      </w:r>
      <w:r>
        <w:fldChar w:fldCharType="separate"/>
      </w:r>
      <w:r>
        <w:rPr>
          <w:rStyle w:val="9"/>
          <w:rFonts w:ascii="Arial" w:hAnsi="Arial" w:cs="Arial"/>
        </w:rPr>
        <w:t>art. 158 da Lei nº 14.133, de 2021</w:t>
      </w:r>
      <w:r>
        <w:rPr>
          <w:rStyle w:val="9"/>
          <w:rFonts w:ascii="Arial" w:hAnsi="Arial" w:cs="Arial"/>
        </w:rPr>
        <w:fldChar w:fldCharType="end"/>
      </w:r>
      <w:r>
        <w:rPr>
          <w:rFonts w:ascii="Arial" w:hAnsi="Arial" w:cs="Arial"/>
        </w:rPr>
        <w:t>, para as penalidades de impedimento de licitar e contratar e de declaração de inidoneidade para licitar ou contratar.</w:t>
      </w:r>
    </w:p>
    <w:p w14:paraId="6986D09F">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Na aplicação das sanções serão considerados (</w:t>
      </w:r>
      <w:r>
        <w:fldChar w:fldCharType="begin"/>
      </w:r>
      <w:r>
        <w:instrText xml:space="preserve"> HYPERLINK "http://www.planalto.gov.br/ccivil_03/_ato2019-2022/2021/lei/L14133.htm" \l "art156§1" </w:instrText>
      </w:r>
      <w:r>
        <w:fldChar w:fldCharType="separate"/>
      </w:r>
      <w:r>
        <w:rPr>
          <w:rStyle w:val="9"/>
          <w:rFonts w:ascii="Arial" w:hAnsi="Arial" w:cs="Arial"/>
        </w:rPr>
        <w:t>art. 156, §1º, da Lei nº 14.133, de 2021</w:t>
      </w:r>
      <w:r>
        <w:rPr>
          <w:rStyle w:val="9"/>
          <w:rFonts w:ascii="Arial" w:hAnsi="Arial" w:cs="Arial"/>
        </w:rPr>
        <w:fldChar w:fldCharType="end"/>
      </w:r>
      <w:r>
        <w:rPr>
          <w:rFonts w:ascii="Arial" w:hAnsi="Arial" w:cs="Arial"/>
        </w:rPr>
        <w:t>):</w:t>
      </w:r>
    </w:p>
    <w:p w14:paraId="1FC5E941">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14:paraId="2847D942">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14:paraId="258F8364">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14:paraId="789EFC65">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14:paraId="12F6AEE3">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14:paraId="29A8E9E8">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9"/>
          <w:rFonts w:ascii="Arial" w:hAnsi="Arial" w:cs="Arial"/>
        </w:rPr>
        <w:t>Lei nº 14.133, de 2021</w:t>
      </w:r>
      <w:r>
        <w:rPr>
          <w:rStyle w:val="9"/>
          <w:rFonts w:ascii="Arial" w:hAnsi="Arial" w:cs="Arial"/>
        </w:rPr>
        <w:fldChar w:fldCharType="end"/>
      </w:r>
      <w:r>
        <w:rPr>
          <w:rFonts w:ascii="Arial" w:hAnsi="Arial" w:cs="Arial"/>
        </w:rP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9"/>
          <w:rFonts w:ascii="Arial" w:hAnsi="Arial" w:cs="Arial"/>
        </w:rPr>
        <w:t>Lei nº 12.846, de 2013</w:t>
      </w:r>
      <w:r>
        <w:rPr>
          <w:rStyle w:val="9"/>
          <w:rFonts w:ascii="Arial" w:hAnsi="Arial" w:cs="Arial"/>
        </w:rPr>
        <w:fldChar w:fldCharType="end"/>
      </w:r>
      <w:r>
        <w:rPr>
          <w:rFonts w:ascii="Arial" w:hAnsi="Arial" w:cs="Arial"/>
        </w:rP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9"/>
          <w:rFonts w:ascii="Arial" w:hAnsi="Arial" w:cs="Arial"/>
        </w:rPr>
        <w:t>art. 159</w:t>
      </w:r>
      <w:r>
        <w:rPr>
          <w:rStyle w:val="9"/>
          <w:rFonts w:ascii="Arial" w:hAnsi="Arial" w:cs="Arial"/>
        </w:rPr>
        <w:fldChar w:fldCharType="end"/>
      </w:r>
      <w:r>
        <w:rPr>
          <w:rFonts w:ascii="Arial" w:hAnsi="Arial" w:cs="Arial"/>
        </w:rPr>
        <w:t>).</w:t>
      </w:r>
    </w:p>
    <w:p w14:paraId="3B922473">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9"/>
          <w:rFonts w:ascii="Arial" w:hAnsi="Arial" w:cs="Arial"/>
        </w:rPr>
        <w:t>art. 160, da Lei nº 14.133, de 2021</w:t>
      </w:r>
      <w:r>
        <w:rPr>
          <w:rStyle w:val="9"/>
          <w:rFonts w:ascii="Arial" w:hAnsi="Arial" w:cs="Arial"/>
        </w:rPr>
        <w:fldChar w:fldCharType="end"/>
      </w:r>
      <w:r>
        <w:rPr>
          <w:rFonts w:ascii="Arial" w:hAnsi="Arial" w:cs="Arial"/>
        </w:rPr>
        <w:t>).</w:t>
      </w:r>
    </w:p>
    <w:p w14:paraId="6A848AC6">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9"/>
          <w:rFonts w:ascii="Arial" w:hAnsi="Arial" w:cs="Arial"/>
        </w:rPr>
        <w:t>Art. 161, da Lei nº 14.133, de 2021</w:t>
      </w:r>
      <w:r>
        <w:rPr>
          <w:rStyle w:val="9"/>
          <w:rFonts w:ascii="Arial" w:hAnsi="Arial" w:cs="Arial"/>
        </w:rPr>
        <w:fldChar w:fldCharType="end"/>
      </w:r>
      <w:r>
        <w:rPr>
          <w:rFonts w:ascii="Arial" w:hAnsi="Arial" w:cs="Arial"/>
        </w:rPr>
        <w:t>).</w:t>
      </w:r>
    </w:p>
    <w:p w14:paraId="6AEF36CE">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9"/>
          <w:rFonts w:ascii="Arial" w:hAnsi="Arial" w:cs="Arial"/>
        </w:rPr>
        <w:t>art. 163 da Lei nº 14.133/21</w:t>
      </w:r>
      <w:r>
        <w:rPr>
          <w:rStyle w:val="9"/>
          <w:rFonts w:ascii="Arial" w:hAnsi="Arial" w:cs="Arial"/>
        </w:rPr>
        <w:fldChar w:fldCharType="end"/>
      </w:r>
      <w:r>
        <w:rPr>
          <w:rFonts w:ascii="Arial" w:hAnsi="Arial" w:cs="Arial"/>
        </w:rPr>
        <w:t>.</w:t>
      </w:r>
    </w:p>
    <w:p w14:paraId="60BF1759">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9"/>
          <w:rFonts w:ascii="Arial" w:hAnsi="Arial" w:cs="Arial"/>
        </w:rPr>
        <w:t>Normativa SEGES/ME nº 26, de 13 de abril de 2022</w:t>
      </w:r>
      <w:r>
        <w:rPr>
          <w:rStyle w:val="9"/>
          <w:rFonts w:ascii="Arial" w:hAnsi="Arial" w:cs="Arial"/>
        </w:rPr>
        <w:fldChar w:fldCharType="end"/>
      </w:r>
      <w:r>
        <w:rPr>
          <w:rFonts w:ascii="Arial" w:hAnsi="Arial" w:cs="Arial"/>
        </w:rPr>
        <w:t xml:space="preserve">. </w:t>
      </w:r>
    </w:p>
    <w:p w14:paraId="74A42406">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CLÁUSULA DÉCIMA SEGUNDA – DA EXTINÇÃO CONTRATUAL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XIX</w:t>
      </w:r>
      <w:r>
        <w:rPr>
          <w:rStyle w:val="9"/>
          <w:rFonts w:ascii="Arial" w:hAnsi="Arial" w:cs="Arial"/>
          <w:sz w:val="22"/>
          <w:szCs w:val="22"/>
        </w:rPr>
        <w:fldChar w:fldCharType="end"/>
      </w:r>
      <w:r>
        <w:rPr>
          <w:rFonts w:ascii="Arial" w:hAnsi="Arial" w:cs="Arial"/>
          <w:sz w:val="22"/>
          <w:szCs w:val="22"/>
        </w:rPr>
        <w:t xml:space="preserve">) </w:t>
      </w:r>
    </w:p>
    <w:p w14:paraId="23529E28">
      <w:pPr>
        <w:pStyle w:val="19"/>
        <w:widowControl/>
        <w:numPr>
          <w:ilvl w:val="1"/>
          <w:numId w:val="3"/>
        </w:numPr>
        <w:tabs>
          <w:tab w:val="left" w:pos="709"/>
        </w:tabs>
        <w:autoSpaceDE/>
        <w:autoSpaceDN/>
        <w:spacing w:before="120" w:after="120" w:line="276" w:lineRule="auto"/>
        <w:ind w:left="0" w:firstLine="0"/>
        <w:jc w:val="both"/>
        <w:rPr>
          <w:rFonts w:ascii="Arial" w:hAnsi="Arial" w:cs="Arial" w:eastAsiaTheme="minorEastAsia"/>
          <w:lang w:val="pt-BR" w:eastAsia="pt-BR"/>
        </w:rPr>
      </w:pPr>
      <w:r>
        <w:rPr>
          <w:rFonts w:ascii="Arial" w:hAnsi="Arial" w:cs="Arial"/>
        </w:rPr>
        <w:t>O contrato será extinto quando cumpridas as obrigações de ambas as partes, ainda que isso ocorra antes do prazo estipulado para tanto.</w:t>
      </w:r>
    </w:p>
    <w:p w14:paraId="690B511C">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14:paraId="5E866AF7">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Quando a não conclusão do contrato referida no item anterior decorrer de culpa do contratado:</w:t>
      </w:r>
    </w:p>
    <w:p w14:paraId="4428747A">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 xml:space="preserve">ficará ele constituído em mora, sendo-lhe aplicáveis as respectivas sanções administrativas; e  </w:t>
      </w:r>
    </w:p>
    <w:p w14:paraId="3B908E12">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poderá a Administração optar pela extinção do contrato e, nesse caso, adotará as medidas admitidas em lei para a continuidade da execução contratual</w:t>
      </w:r>
    </w:p>
    <w:p w14:paraId="2B2BF07D">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9"/>
          <w:rFonts w:ascii="Arial" w:hAnsi="Arial" w:cs="Arial"/>
        </w:rPr>
        <w:t>artigo 137 da Lei nº 14.133/21</w:t>
      </w:r>
      <w:r>
        <w:rPr>
          <w:rStyle w:val="9"/>
          <w:rFonts w:ascii="Arial" w:hAnsi="Arial" w:cs="Arial"/>
        </w:rPr>
        <w:fldChar w:fldCharType="end"/>
      </w:r>
      <w:r>
        <w:rPr>
          <w:rFonts w:ascii="Arial" w:hAnsi="Arial" w:cs="Arial"/>
        </w:rPr>
        <w:t xml:space="preserve">, bem como amigavelmente, </w:t>
      </w:r>
      <w:r>
        <w:rPr>
          <w:rFonts w:ascii="Arial" w:hAnsi="Arial" w:cs="Arial"/>
          <w:color w:val="000000" w:themeColor="text1"/>
          <w14:textFill>
            <w14:solidFill>
              <w14:schemeClr w14:val="tx1"/>
            </w14:solidFill>
          </w14:textFill>
        </w:rPr>
        <w:t>assegurados o contraditório e a ampla defesa</w:t>
      </w:r>
      <w:r>
        <w:rPr>
          <w:rFonts w:ascii="Arial" w:hAnsi="Arial" w:cs="Arial"/>
        </w:rPr>
        <w:t>.</w:t>
      </w:r>
    </w:p>
    <w:p w14:paraId="7B1F64D8">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  Nesta hipótese, aplicam-se também os </w:t>
      </w:r>
      <w:r>
        <w:fldChar w:fldCharType="begin"/>
      </w:r>
      <w:r>
        <w:instrText xml:space="preserve"> HYPERLINK "http://www.planalto.gov.br/ccivil_03/_ato2019-2022/2021/lei/L14133.htm" \l "art138" </w:instrText>
      </w:r>
      <w:r>
        <w:fldChar w:fldCharType="separate"/>
      </w:r>
      <w:r>
        <w:rPr>
          <w:rStyle w:val="9"/>
          <w:rFonts w:ascii="Arial" w:hAnsi="Arial" w:cs="Arial"/>
        </w:rPr>
        <w:t>artigos 138 e 139</w:t>
      </w:r>
      <w:r>
        <w:rPr>
          <w:rStyle w:val="9"/>
          <w:rFonts w:ascii="Arial" w:hAnsi="Arial" w:cs="Arial"/>
        </w:rPr>
        <w:fldChar w:fldCharType="end"/>
      </w:r>
      <w:r>
        <w:rPr>
          <w:rFonts w:ascii="Arial" w:hAnsi="Arial" w:cs="Arial"/>
        </w:rPr>
        <w:t xml:space="preserve"> da mesma Lei.</w:t>
      </w:r>
    </w:p>
    <w:p w14:paraId="2641D7FF">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A alteração social ou a modificação da finalidade ou da estrutura da empresa não ensejará a extinção se não restringir sua capacidade de concluir o contrato.</w:t>
      </w:r>
    </w:p>
    <w:p w14:paraId="5D8AD07A">
      <w:pPr>
        <w:pStyle w:val="19"/>
        <w:widowControl/>
        <w:numPr>
          <w:ilvl w:val="3"/>
          <w:numId w:val="3"/>
        </w:numPr>
        <w:tabs>
          <w:tab w:val="left" w:pos="426"/>
        </w:tabs>
        <w:autoSpaceDE/>
        <w:autoSpaceDN/>
        <w:spacing w:before="120" w:after="120" w:line="276" w:lineRule="auto"/>
        <w:jc w:val="both"/>
        <w:rPr>
          <w:rFonts w:ascii="Arial" w:hAnsi="Arial" w:cs="Arial"/>
        </w:rPr>
      </w:pPr>
      <w:r>
        <w:rPr>
          <w:rFonts w:ascii="Arial" w:hAnsi="Arial" w:cs="Arial"/>
          <w:color w:val="000000" w:themeColor="text1"/>
          <w14:textFill>
            <w14:solidFill>
              <w14:schemeClr w14:val="tx1"/>
            </w14:solidFill>
          </w14:textFill>
        </w:rPr>
        <w:t xml:space="preserve">Se a </w:t>
      </w:r>
      <w:r>
        <w:rPr>
          <w:rFonts w:ascii="Arial" w:hAnsi="Arial" w:cs="Arial"/>
        </w:rPr>
        <w:t>operação</w:t>
      </w:r>
      <w:r>
        <w:rPr>
          <w:rFonts w:ascii="Arial" w:hAnsi="Arial" w:cs="Arial"/>
          <w:color w:val="000000" w:themeColor="text1"/>
          <w14:textFill>
            <w14:solidFill>
              <w14:schemeClr w14:val="tx1"/>
            </w14:solidFill>
          </w14:textFill>
        </w:rPr>
        <w:t xml:space="preserve"> </w:t>
      </w:r>
      <w:r>
        <w:rPr>
          <w:rFonts w:ascii="Arial" w:hAnsi="Arial" w:cs="Arial"/>
        </w:rPr>
        <w:t>implicar mudança da pessoa jurídica contratada, deverá ser formalizado termo aditivo para alteração subjetiva.</w:t>
      </w:r>
    </w:p>
    <w:p w14:paraId="0B348AED">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termo de extinção, sempre que possível, será precedido:</w:t>
      </w:r>
    </w:p>
    <w:p w14:paraId="27000777">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Balanço dos eventos contratuais já cumpridos ou parcialmente cumpridos;</w:t>
      </w:r>
    </w:p>
    <w:p w14:paraId="03C0D965">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Relação dos pagamentos já efetuados e ainda devidos;</w:t>
      </w:r>
    </w:p>
    <w:p w14:paraId="2AFC2134">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Indenizações e multas.</w:t>
      </w:r>
    </w:p>
    <w:p w14:paraId="50A5248A">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w:instrText>
      </w:r>
      <w:r>
        <w:fldChar w:fldCharType="separate"/>
      </w:r>
      <w:r>
        <w:rPr>
          <w:rStyle w:val="9"/>
          <w:rFonts w:ascii="Arial" w:hAnsi="Arial" w:cs="Arial"/>
        </w:rPr>
        <w:t xml:space="preserve">art. 131, </w:t>
      </w:r>
      <w:r>
        <w:rPr>
          <w:rStyle w:val="9"/>
          <w:rFonts w:ascii="Arial" w:hAnsi="Arial" w:cs="Arial"/>
          <w:i/>
          <w:iCs/>
        </w:rPr>
        <w:t xml:space="preserve">caput, </w:t>
      </w:r>
      <w:r>
        <w:rPr>
          <w:rStyle w:val="9"/>
          <w:rFonts w:ascii="Arial" w:hAnsi="Arial" w:cs="Arial"/>
        </w:rPr>
        <w:t>da Lei n.º 14.133, de 2021).</w:t>
      </w:r>
      <w:r>
        <w:rPr>
          <w:rStyle w:val="9"/>
          <w:rFonts w:ascii="Arial" w:hAnsi="Arial" w:cs="Arial"/>
        </w:rPr>
        <w:fldChar w:fldCharType="end"/>
      </w:r>
      <w:r>
        <w:rPr>
          <w:rFonts w:ascii="Arial" w:hAnsi="Arial" w:cs="Arial"/>
        </w:rPr>
        <w:t xml:space="preserve"> </w:t>
      </w:r>
    </w:p>
    <w:p w14:paraId="351D4437">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459140B">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xml:space="preserve"> CLÁUSULA DÉCIMA TERCEIRA – DOTAÇÃO ORÇAMENTÁRIA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VIII</w:t>
      </w:r>
      <w:r>
        <w:rPr>
          <w:rStyle w:val="9"/>
          <w:rFonts w:ascii="Arial" w:hAnsi="Arial" w:cs="Arial"/>
          <w:sz w:val="22"/>
          <w:szCs w:val="22"/>
        </w:rPr>
        <w:fldChar w:fldCharType="end"/>
      </w:r>
      <w:r>
        <w:rPr>
          <w:rFonts w:ascii="Arial" w:hAnsi="Arial" w:cs="Arial"/>
          <w:sz w:val="22"/>
          <w:szCs w:val="22"/>
        </w:rPr>
        <w:t>)</w:t>
      </w:r>
    </w:p>
    <w:p w14:paraId="5E52EF70">
      <w:pPr>
        <w:pStyle w:val="43"/>
        <w:numPr>
          <w:ilvl w:val="0"/>
          <w:numId w:val="0"/>
        </w:numPr>
        <w:spacing w:before="0" w:after="0" w:line="360" w:lineRule="auto"/>
        <w:ind w:leftChars="0"/>
        <w:rPr>
          <w:sz w:val="16"/>
          <w:szCs w:val="16"/>
        </w:rPr>
      </w:pPr>
      <w:r>
        <w:rPr>
          <w:rFonts w:hint="default" w:ascii="Arial" w:hAnsi="Arial" w:cs="Arial"/>
          <w:b w:val="0"/>
          <w:bCs w:val="0"/>
          <w:sz w:val="22"/>
          <w:szCs w:val="22"/>
          <w:lang w:val="pt-BR"/>
        </w:rPr>
        <w:t xml:space="preserve">13.1 </w:t>
      </w:r>
      <w:r>
        <w:rPr>
          <w:rFonts w:ascii="Arial" w:hAnsi="Arial" w:eastAsia="Verdana" w:cs="Arial"/>
          <w:b w:val="0"/>
          <w:color w:val="auto"/>
          <w:sz w:val="22"/>
          <w:szCs w:val="22"/>
          <w:lang w:val="pt-PT" w:eastAsia="en-US" w:bidi="ar-SA"/>
        </w:rPr>
        <w:t>As despesas decorrentes da presente contratação correrão à conta de recursos específicos consignados no Orçamento do Município, na forma abaixo:</w: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8"/>
        <w:gridCol w:w="2770"/>
        <w:gridCol w:w="5538"/>
      </w:tblGrid>
      <w:tr w14:paraId="2DBD0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 w:type="pct"/>
            <w:tcBorders>
              <w:left w:val="nil"/>
              <w:right w:val="nil"/>
            </w:tcBorders>
            <w:shd w:val="clear" w:color="auto" w:fill="auto"/>
            <w:vAlign w:val="center"/>
          </w:tcPr>
          <w:p w14:paraId="59AAB8F8">
            <w:pPr>
              <w:pStyle w:val="19"/>
              <w:overflowPunct w:val="0"/>
              <w:ind w:left="0"/>
              <w:jc w:val="both"/>
              <w:rPr>
                <w:rFonts w:ascii="Times New Roman" w:hAnsi="Times New Roman" w:cs="Times New Roman"/>
                <w:b/>
                <w:bCs/>
                <w:color w:val="000000"/>
              </w:rPr>
            </w:pPr>
            <w:r>
              <w:rPr>
                <w:rFonts w:ascii="Times New Roman" w:hAnsi="Times New Roman" w:cs="Times New Roman"/>
                <w:b/>
                <w:bCs/>
                <w:color w:val="000000"/>
              </w:rPr>
              <w:t>1</w:t>
            </w:r>
            <w:r>
              <w:rPr>
                <w:rFonts w:hint="default" w:ascii="Times New Roman" w:hAnsi="Times New Roman" w:cs="Times New Roman"/>
                <w:b/>
                <w:bCs/>
                <w:color w:val="000000"/>
                <w:lang w:val="pt-BR"/>
              </w:rPr>
              <w:t>3</w:t>
            </w:r>
            <w:r>
              <w:rPr>
                <w:rFonts w:ascii="Times New Roman" w:hAnsi="Times New Roman" w:cs="Times New Roman"/>
                <w:b/>
                <w:bCs/>
                <w:color w:val="000000"/>
              </w:rPr>
              <w:t>.1.1</w:t>
            </w:r>
          </w:p>
        </w:tc>
        <w:tc>
          <w:tcPr>
            <w:tcW w:w="1491" w:type="pct"/>
            <w:tcBorders>
              <w:left w:val="nil"/>
              <w:right w:val="nil"/>
            </w:tcBorders>
            <w:shd w:val="clear" w:color="auto" w:fill="auto"/>
            <w:vAlign w:val="center"/>
          </w:tcPr>
          <w:p w14:paraId="529437EA">
            <w:pPr>
              <w:pStyle w:val="19"/>
              <w:overflowPunct w:val="0"/>
              <w:ind w:left="0"/>
              <w:jc w:val="both"/>
              <w:rPr>
                <w:rFonts w:ascii="Times New Roman" w:hAnsi="Times New Roman" w:cs="Times New Roman"/>
                <w:b/>
                <w:bCs/>
                <w:color w:val="000000"/>
                <w:sz w:val="22"/>
                <w:szCs w:val="22"/>
              </w:rPr>
            </w:pPr>
            <w:r>
              <w:rPr>
                <w:rFonts w:ascii="Times New Roman" w:hAnsi="Times New Roman" w:cs="Times New Roman"/>
                <w:b/>
                <w:bCs/>
                <w:color w:val="000000"/>
                <w:sz w:val="22"/>
                <w:szCs w:val="22"/>
              </w:rPr>
              <w:t>Elemento de Despesa:</w:t>
            </w:r>
          </w:p>
        </w:tc>
        <w:tc>
          <w:tcPr>
            <w:tcW w:w="2981" w:type="pct"/>
            <w:tcBorders>
              <w:left w:val="nil"/>
              <w:right w:val="nil"/>
            </w:tcBorders>
            <w:shd w:val="clear" w:color="auto" w:fill="auto"/>
            <w:vAlign w:val="center"/>
          </w:tcPr>
          <w:p w14:paraId="1C1B2962">
            <w:pPr>
              <w:pStyle w:val="13"/>
              <w:jc w:val="both"/>
              <w:rPr>
                <w:color w:val="000000"/>
                <w:sz w:val="22"/>
                <w:szCs w:val="22"/>
              </w:rPr>
            </w:pPr>
            <w:r>
              <w:t>4.4.9.0.52.48</w:t>
            </w:r>
          </w:p>
        </w:tc>
      </w:tr>
      <w:tr w14:paraId="24B2D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 w:type="pct"/>
            <w:tcBorders>
              <w:left w:val="nil"/>
              <w:right w:val="nil"/>
            </w:tcBorders>
            <w:shd w:val="clear" w:color="auto" w:fill="auto"/>
            <w:vAlign w:val="center"/>
          </w:tcPr>
          <w:p w14:paraId="01828295">
            <w:pPr>
              <w:pStyle w:val="19"/>
              <w:overflowPunct w:val="0"/>
              <w:ind w:left="0"/>
              <w:jc w:val="both"/>
              <w:rPr>
                <w:rFonts w:ascii="Times New Roman" w:hAnsi="Times New Roman" w:cs="Times New Roman"/>
                <w:b/>
                <w:bCs/>
                <w:color w:val="000000"/>
              </w:rPr>
            </w:pPr>
            <w:r>
              <w:rPr>
                <w:rFonts w:ascii="Times New Roman" w:hAnsi="Times New Roman" w:cs="Times New Roman"/>
                <w:b/>
                <w:bCs/>
                <w:color w:val="000000"/>
              </w:rPr>
              <w:t>1</w:t>
            </w:r>
            <w:r>
              <w:rPr>
                <w:rFonts w:hint="default" w:ascii="Times New Roman" w:hAnsi="Times New Roman" w:cs="Times New Roman"/>
                <w:b/>
                <w:bCs/>
                <w:color w:val="000000"/>
                <w:lang w:val="pt-BR"/>
              </w:rPr>
              <w:t>3</w:t>
            </w:r>
            <w:r>
              <w:rPr>
                <w:rFonts w:ascii="Times New Roman" w:hAnsi="Times New Roman" w:cs="Times New Roman"/>
                <w:b/>
                <w:bCs/>
                <w:color w:val="000000"/>
              </w:rPr>
              <w:t>.1.2</w:t>
            </w:r>
          </w:p>
        </w:tc>
        <w:tc>
          <w:tcPr>
            <w:tcW w:w="1491" w:type="pct"/>
            <w:tcBorders>
              <w:left w:val="nil"/>
              <w:right w:val="nil"/>
            </w:tcBorders>
            <w:shd w:val="clear" w:color="auto" w:fill="auto"/>
            <w:vAlign w:val="center"/>
          </w:tcPr>
          <w:p w14:paraId="709EBF64">
            <w:pPr>
              <w:pStyle w:val="19"/>
              <w:overflowPunct w:val="0"/>
              <w:ind w:left="0"/>
              <w:jc w:val="both"/>
              <w:rPr>
                <w:rFonts w:ascii="Times New Roman" w:hAnsi="Times New Roman" w:cs="Times New Roman"/>
                <w:b/>
                <w:bCs/>
                <w:color w:val="000000"/>
                <w:sz w:val="22"/>
                <w:szCs w:val="22"/>
              </w:rPr>
            </w:pPr>
            <w:r>
              <w:rPr>
                <w:rFonts w:ascii="Times New Roman" w:hAnsi="Times New Roman" w:cs="Times New Roman"/>
                <w:b/>
                <w:bCs/>
                <w:color w:val="000000"/>
                <w:sz w:val="22"/>
                <w:szCs w:val="22"/>
              </w:rPr>
              <w:t>Fonte de Recurso:</w:t>
            </w:r>
          </w:p>
        </w:tc>
        <w:tc>
          <w:tcPr>
            <w:tcW w:w="2981" w:type="pct"/>
            <w:tcBorders>
              <w:left w:val="nil"/>
              <w:right w:val="nil"/>
            </w:tcBorders>
            <w:shd w:val="clear" w:color="auto" w:fill="auto"/>
            <w:vAlign w:val="center"/>
          </w:tcPr>
          <w:p w14:paraId="65CB6F6F">
            <w:pPr>
              <w:pStyle w:val="13"/>
              <w:spacing w:beforeAutospacing="0" w:afterAutospacing="0"/>
            </w:pPr>
            <w:r>
              <w:t>275900000013</w:t>
            </w:r>
          </w:p>
          <w:p w14:paraId="40CF0C8F">
            <w:pPr>
              <w:pStyle w:val="13"/>
              <w:spacing w:beforeAutospacing="0" w:afterAutospacing="0"/>
            </w:pPr>
            <w:r>
              <w:t>175900000013</w:t>
            </w:r>
          </w:p>
        </w:tc>
      </w:tr>
      <w:tr w14:paraId="51886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 w:type="pct"/>
            <w:tcBorders>
              <w:left w:val="nil"/>
              <w:right w:val="nil"/>
            </w:tcBorders>
            <w:shd w:val="clear" w:color="auto" w:fill="auto"/>
            <w:vAlign w:val="center"/>
          </w:tcPr>
          <w:p w14:paraId="65DE6F69">
            <w:pPr>
              <w:pStyle w:val="19"/>
              <w:overflowPunct w:val="0"/>
              <w:ind w:left="0"/>
              <w:jc w:val="both"/>
              <w:rPr>
                <w:rFonts w:ascii="Times New Roman" w:hAnsi="Times New Roman" w:cs="Times New Roman"/>
                <w:b/>
                <w:bCs/>
                <w:color w:val="000000"/>
              </w:rPr>
            </w:pPr>
            <w:r>
              <w:rPr>
                <w:rFonts w:ascii="Times New Roman" w:hAnsi="Times New Roman" w:cs="Times New Roman"/>
                <w:b/>
                <w:bCs/>
                <w:color w:val="000000"/>
              </w:rPr>
              <w:t>1</w:t>
            </w:r>
            <w:r>
              <w:rPr>
                <w:rFonts w:hint="default" w:ascii="Times New Roman" w:hAnsi="Times New Roman" w:cs="Times New Roman"/>
                <w:b/>
                <w:bCs/>
                <w:color w:val="000000"/>
                <w:lang w:val="pt-BR"/>
              </w:rPr>
              <w:t>3</w:t>
            </w:r>
            <w:r>
              <w:rPr>
                <w:rFonts w:ascii="Times New Roman" w:hAnsi="Times New Roman" w:cs="Times New Roman"/>
                <w:b/>
                <w:bCs/>
                <w:color w:val="000000"/>
              </w:rPr>
              <w:t>.1.3</w:t>
            </w:r>
          </w:p>
        </w:tc>
        <w:tc>
          <w:tcPr>
            <w:tcW w:w="1491" w:type="pct"/>
            <w:tcBorders>
              <w:left w:val="nil"/>
              <w:right w:val="nil"/>
            </w:tcBorders>
            <w:shd w:val="clear" w:color="auto" w:fill="auto"/>
            <w:vAlign w:val="center"/>
          </w:tcPr>
          <w:p w14:paraId="6ACDF090">
            <w:pPr>
              <w:pStyle w:val="19"/>
              <w:overflowPunct w:val="0"/>
              <w:ind w:left="0"/>
              <w:jc w:val="both"/>
              <w:rPr>
                <w:rFonts w:ascii="Times New Roman" w:hAnsi="Times New Roman" w:cs="Times New Roman"/>
                <w:b/>
                <w:bCs/>
                <w:color w:val="000000"/>
                <w:sz w:val="22"/>
                <w:szCs w:val="22"/>
              </w:rPr>
            </w:pPr>
            <w:r>
              <w:rPr>
                <w:rFonts w:ascii="Times New Roman" w:hAnsi="Times New Roman" w:cs="Times New Roman"/>
                <w:b/>
                <w:bCs/>
                <w:color w:val="000000"/>
                <w:sz w:val="22"/>
                <w:szCs w:val="22"/>
              </w:rPr>
              <w:t>Programa de Trabalho:</w:t>
            </w:r>
          </w:p>
        </w:tc>
        <w:tc>
          <w:tcPr>
            <w:tcW w:w="2981" w:type="pct"/>
            <w:tcBorders>
              <w:left w:val="nil"/>
              <w:right w:val="nil"/>
            </w:tcBorders>
            <w:shd w:val="clear" w:color="auto" w:fill="auto"/>
            <w:vAlign w:val="center"/>
          </w:tcPr>
          <w:p w14:paraId="73DABDDC">
            <w:pPr>
              <w:pStyle w:val="13"/>
              <w:spacing w:beforeAutospacing="0" w:afterAutospacing="0"/>
              <w:jc w:val="both"/>
              <w:rPr>
                <w:color w:val="000000"/>
                <w:sz w:val="22"/>
                <w:szCs w:val="22"/>
              </w:rPr>
            </w:pPr>
            <w:r>
              <w:t>31002.1518200202.116</w:t>
            </w:r>
          </w:p>
        </w:tc>
      </w:tr>
    </w:tbl>
    <w:p w14:paraId="77E7B346">
      <w:pPr>
        <w:pStyle w:val="43"/>
        <w:numPr>
          <w:ilvl w:val="0"/>
          <w:numId w:val="0"/>
        </w:numPr>
        <w:spacing w:before="0" w:after="0" w:line="360" w:lineRule="auto"/>
        <w:ind w:leftChars="0"/>
        <w:rPr>
          <w:rFonts w:ascii="Arial" w:hAnsi="Arial" w:eastAsia="Verdana" w:cs="Arial"/>
          <w:b w:val="0"/>
          <w:color w:val="auto"/>
          <w:sz w:val="22"/>
          <w:szCs w:val="22"/>
          <w:lang w:val="pt-PT" w:eastAsia="en-US" w:bidi="ar-SA"/>
        </w:rPr>
      </w:pPr>
      <w:r>
        <w:rPr>
          <w:rFonts w:hint="default" w:ascii="Arial" w:hAnsi="Arial" w:eastAsia="Verdana" w:cs="Arial"/>
          <w:b w:val="0"/>
          <w:color w:val="auto"/>
          <w:sz w:val="22"/>
          <w:szCs w:val="22"/>
          <w:lang w:val="pt-BR" w:eastAsia="en-US" w:bidi="ar-SA"/>
        </w:rPr>
        <w:t xml:space="preserve">13.2 </w:t>
      </w:r>
      <w:r>
        <w:rPr>
          <w:rFonts w:ascii="Arial" w:hAnsi="Arial" w:eastAsia="Verdana" w:cs="Arial"/>
          <w:b w:val="0"/>
          <w:color w:val="auto"/>
          <w:sz w:val="22"/>
          <w:szCs w:val="22"/>
          <w:lang w:val="pt-PT" w:eastAsia="en-US" w:bidi="ar-SA"/>
        </w:rPr>
        <w:t xml:space="preserve">A dotação relativa aos exercícios financeiros subsequentes será indicada após aprovação da Lei Orçamentária respectiva e liberação dos créditos correspondentes, mediante apostilamento. </w:t>
      </w:r>
    </w:p>
    <w:p w14:paraId="2EC52097">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sz w:val="22"/>
          <w:szCs w:val="22"/>
        </w:rPr>
        <w:t xml:space="preserve"> CLÁUSULA DÉCIMA QUARTA – ALTERAÇÕES </w:t>
      </w:r>
      <w:r>
        <w:rPr>
          <w:rFonts w:ascii="Arial" w:hAnsi="Arial" w:cs="Arial"/>
          <w:sz w:val="22"/>
          <w:szCs w:val="22"/>
          <w:lang w:val="pt-PT"/>
        </w:rPr>
        <w:t>DOS CASOS OMISSOS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lang w:val="pt-PT"/>
        </w:rPr>
        <w:t>art. 92, III</w:t>
      </w:r>
      <w:r>
        <w:rPr>
          <w:rStyle w:val="9"/>
          <w:rFonts w:ascii="Arial" w:hAnsi="Arial" w:cs="Arial"/>
          <w:sz w:val="22"/>
          <w:szCs w:val="22"/>
          <w:lang w:val="pt-PT"/>
        </w:rPr>
        <w:fldChar w:fldCharType="end"/>
      </w:r>
      <w:r>
        <w:rPr>
          <w:rFonts w:ascii="Arial" w:hAnsi="Arial" w:cs="Arial"/>
          <w:sz w:val="22"/>
          <w:szCs w:val="22"/>
          <w:lang w:val="pt-PT"/>
        </w:rPr>
        <w:t>)</w:t>
      </w:r>
    </w:p>
    <w:p w14:paraId="594171BC">
      <w:pPr>
        <w:pStyle w:val="19"/>
        <w:numPr>
          <w:ilvl w:val="1"/>
          <w:numId w:val="3"/>
        </w:numPr>
        <w:tabs>
          <w:tab w:val="left" w:pos="426"/>
        </w:tabs>
        <w:ind w:left="0" w:firstLine="0"/>
        <w:jc w:val="both"/>
        <w:rPr>
          <w:rFonts w:ascii="Arial" w:hAnsi="Arial" w:cs="Arial"/>
        </w:rPr>
      </w:pPr>
      <w:r>
        <w:rPr>
          <w:rFonts w:ascii="Arial" w:hAnsi="Arial" w:cs="Arial"/>
        </w:rPr>
        <w:t xml:space="preserve">Os casos omissos serão decididos pelo contratante, segundo as disposições contidas na Lei </w:t>
      </w:r>
      <w:r>
        <w:fldChar w:fldCharType="begin"/>
      </w:r>
      <w:r>
        <w:instrText xml:space="preserve"> HYPERLINK "http://www.planalto.gov.br/ccivil_03/_ato2019-2022/2021/lei/L14133.htm" </w:instrText>
      </w:r>
      <w:r>
        <w:fldChar w:fldCharType="separate"/>
      </w:r>
      <w:r>
        <w:rPr>
          <w:rStyle w:val="9"/>
          <w:rFonts w:ascii="Arial" w:hAnsi="Arial" w:cs="Arial"/>
        </w:rPr>
        <w:t>nº 14.133, de 2021</w:t>
      </w:r>
      <w:r>
        <w:rPr>
          <w:rStyle w:val="9"/>
          <w:rFonts w:ascii="Arial" w:hAnsi="Arial" w:cs="Arial"/>
        </w:rPr>
        <w:fldChar w:fldCharType="end"/>
      </w:r>
      <w:r>
        <w:rPr>
          <w:rFonts w:ascii="Arial" w:hAnsi="Arial" w:cs="Arial"/>
        </w:rPr>
        <w:t xml:space="preserve">, e </w:t>
      </w:r>
      <w:r>
        <w:rPr>
          <w:rFonts w:ascii="Arial" w:hAnsi="Arial" w:cs="Arial"/>
          <w:lang w:val="pt-BR"/>
        </w:rPr>
        <w:t>demais</w:t>
      </w:r>
      <w:r>
        <w:rPr>
          <w:rFonts w:ascii="Arial" w:hAnsi="Arial" w:cs="Arial"/>
        </w:rPr>
        <w:t xml:space="preserve">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9"/>
          <w:rFonts w:ascii="Arial" w:hAnsi="Arial" w:cs="Arial"/>
        </w:rPr>
        <w:t>Lei nº 8.078, de 1990 – Código de Defesa do Consumidor</w:t>
      </w:r>
      <w:r>
        <w:rPr>
          <w:rStyle w:val="9"/>
          <w:rFonts w:ascii="Arial" w:hAnsi="Arial" w:cs="Arial"/>
        </w:rPr>
        <w:fldChar w:fldCharType="end"/>
      </w:r>
      <w:r>
        <w:rPr>
          <w:rFonts w:ascii="Arial" w:hAnsi="Arial" w:cs="Arial"/>
        </w:rPr>
        <w:t xml:space="preserve"> – e normas e princípios gerais dos contratos.</w:t>
      </w:r>
    </w:p>
    <w:p w14:paraId="11EA67AE">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color w:val="FFFFFF" w:themeColor="background1"/>
          <w:sz w:val="22"/>
          <w:szCs w:val="22"/>
          <w14:textFill>
            <w14:solidFill>
              <w14:schemeClr w14:val="bg1"/>
            </w14:solidFill>
          </w14:textFill>
        </w:rPr>
        <w:t xml:space="preserve"> </w:t>
      </w:r>
      <w:r>
        <w:rPr>
          <w:rFonts w:ascii="Arial" w:hAnsi="Arial" w:cs="Arial"/>
          <w:sz w:val="22"/>
          <w:szCs w:val="22"/>
        </w:rPr>
        <w:t>CLÁUSULA DÉCIMA QUINTA – ALTERAÇÕES</w:t>
      </w:r>
    </w:p>
    <w:p w14:paraId="34DA62FC">
      <w:pPr>
        <w:pStyle w:val="19"/>
        <w:numPr>
          <w:ilvl w:val="1"/>
          <w:numId w:val="3"/>
        </w:numPr>
        <w:tabs>
          <w:tab w:val="left" w:pos="426"/>
        </w:tabs>
        <w:ind w:left="0" w:firstLine="0"/>
        <w:jc w:val="both"/>
        <w:rPr>
          <w:rFonts w:ascii="Arial" w:hAnsi="Arial" w:cs="Arial"/>
          <w:color w:val="000000"/>
        </w:rPr>
      </w:pPr>
      <w:r>
        <w:rPr>
          <w:rFonts w:ascii="Arial" w:hAnsi="Arial" w:cs="Arial"/>
        </w:rPr>
        <w:t xml:space="preserve">Eventuais alterações </w:t>
      </w:r>
      <w:r>
        <w:rPr>
          <w:rFonts w:ascii="Arial" w:hAnsi="Arial" w:cs="Arial"/>
          <w:lang w:val="pt-BR"/>
        </w:rPr>
        <w:t>contratuais</w:t>
      </w:r>
      <w:r>
        <w:rPr>
          <w:rFonts w:ascii="Arial" w:hAnsi="Arial" w:cs="Arial"/>
        </w:rPr>
        <w:t xml:space="preserve"> reger-se-ão pela disciplina dos </w:t>
      </w:r>
      <w:r>
        <w:fldChar w:fldCharType="begin"/>
      </w:r>
      <w:r>
        <w:instrText xml:space="preserve"> HYPERLINK "http://www.planalto.gov.br/ccivil_03/_ato2019-2022/2021/lei/L14133.htm" \l "art124" </w:instrText>
      </w:r>
      <w:r>
        <w:fldChar w:fldCharType="separate"/>
      </w:r>
      <w:r>
        <w:rPr>
          <w:rStyle w:val="9"/>
          <w:rFonts w:ascii="Arial" w:hAnsi="Arial" w:cs="Arial"/>
        </w:rPr>
        <w:t>arts. 124 e seguintes da Lei nº 14.133, de 2021</w:t>
      </w:r>
      <w:r>
        <w:rPr>
          <w:rStyle w:val="9"/>
          <w:rFonts w:ascii="Arial" w:hAnsi="Arial" w:cs="Arial"/>
        </w:rPr>
        <w:fldChar w:fldCharType="end"/>
      </w:r>
      <w:r>
        <w:rPr>
          <w:rFonts w:ascii="Arial" w:hAnsi="Arial" w:cs="Arial"/>
        </w:rPr>
        <w:t>.</w:t>
      </w:r>
    </w:p>
    <w:p w14:paraId="24101FDB">
      <w:pPr>
        <w:pStyle w:val="19"/>
        <w:numPr>
          <w:ilvl w:val="1"/>
          <w:numId w:val="3"/>
        </w:numPr>
        <w:tabs>
          <w:tab w:val="left" w:pos="426"/>
        </w:tabs>
        <w:ind w:left="0" w:firstLine="0"/>
        <w:jc w:val="both"/>
        <w:rPr>
          <w:rFonts w:ascii="Arial" w:hAnsi="Arial" w:cs="Arial"/>
        </w:rPr>
      </w:pPr>
      <w:r>
        <w:rPr>
          <w:rFonts w:ascii="Arial" w:hAnsi="Arial" w:cs="Arial"/>
        </w:rPr>
        <w:t xml:space="preserve">O contratado é </w:t>
      </w:r>
      <w:r>
        <w:rPr>
          <w:rFonts w:ascii="Arial" w:hAnsi="Arial" w:cs="Arial"/>
          <w:lang w:val="pt-BR"/>
        </w:rPr>
        <w:t>obrigado</w:t>
      </w:r>
      <w:r>
        <w:rPr>
          <w:rFonts w:ascii="Arial" w:hAnsi="Arial" w:cs="Arial"/>
        </w:rPr>
        <w:t xml:space="preserve"> a aceitar, nas mesmas condições contratuais, os acréscimos ou supressões que se fizerem necessários, até o limite de 25% (vinte e cinco por cento) do valor inicial atualizado do contrato.</w:t>
      </w:r>
    </w:p>
    <w:p w14:paraId="607033B5">
      <w:pPr>
        <w:pStyle w:val="19"/>
        <w:numPr>
          <w:ilvl w:val="1"/>
          <w:numId w:val="3"/>
        </w:numPr>
        <w:tabs>
          <w:tab w:val="left" w:pos="426"/>
        </w:tabs>
        <w:ind w:left="0" w:firstLine="0"/>
        <w:jc w:val="both"/>
        <w:rPr>
          <w:rFonts w:ascii="Arial" w:hAnsi="Arial" w:cs="Arial"/>
        </w:rPr>
      </w:pPr>
      <w:r>
        <w:rPr>
          <w:rFonts w:ascii="Arial" w:hAnsi="Arial" w:cs="Arial"/>
        </w:rPr>
        <w:t xml:space="preserve">As alterações contratuais deverão ser promovidas mediante celebração de termo aditivo, submetido à prévia aprovação da consultoria jurídica do contratante, salvo nos casos de justificada necessidade de </w:t>
      </w:r>
      <w:r>
        <w:rPr>
          <w:rFonts w:ascii="Arial" w:hAnsi="Arial" w:cs="Arial"/>
          <w:lang w:val="pt-BR"/>
        </w:rPr>
        <w:t>antecipação</w:t>
      </w:r>
      <w:r>
        <w:rPr>
          <w:rFonts w:ascii="Arial" w:hAnsi="Arial" w:cs="Arial"/>
        </w:rPr>
        <w:t xml:space="preserve"> de seus efeitos, hipótese em que a formalização do aditivo deverá ocorrer no prazo máximo de 1 (um) mês (art. 132 da Lei nº 14.133, de 2021).</w:t>
      </w:r>
    </w:p>
    <w:p w14:paraId="53071EE8">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Fonts w:ascii="Arial" w:hAnsi="Arial" w:cs="Arial"/>
        </w:rPr>
        <w:t>art. 136 da Lei nº 14.133, de 2021</w:t>
      </w:r>
      <w:r>
        <w:rPr>
          <w:rStyle w:val="9"/>
          <w:rFonts w:ascii="Arial" w:hAnsi="Arial" w:cs="Arial"/>
        </w:rPr>
        <w:fldChar w:fldCharType="end"/>
      </w:r>
      <w:r>
        <w:rPr>
          <w:rFonts w:ascii="Arial" w:hAnsi="Arial" w:cs="Arial"/>
        </w:rPr>
        <w:t xml:space="preserve">. </w:t>
      </w:r>
    </w:p>
    <w:p w14:paraId="3A722241">
      <w:pPr>
        <w:pStyle w:val="44"/>
        <w:numPr>
          <w:ilvl w:val="0"/>
          <w:numId w:val="3"/>
        </w:numPr>
        <w:rPr>
          <w:color w:val="FFFFFF" w:themeColor="background1"/>
          <w:sz w:val="22"/>
          <w:szCs w:val="22"/>
          <w14:textFill>
            <w14:solidFill>
              <w14:schemeClr w14:val="bg1"/>
            </w14:solidFill>
          </w14:textFill>
        </w:rPr>
      </w:pPr>
      <w:r>
        <w:rPr>
          <w:sz w:val="22"/>
          <w:szCs w:val="22"/>
        </w:rPr>
        <w:t>CLÁUSULA DÉCIMA SEXTA – PUBLICAÇÃO</w:t>
      </w:r>
    </w:p>
    <w:p w14:paraId="2E58E5F8">
      <w:pPr>
        <w:pStyle w:val="19"/>
        <w:numPr>
          <w:ilvl w:val="1"/>
          <w:numId w:val="3"/>
        </w:numPr>
        <w:tabs>
          <w:tab w:val="left" w:pos="426"/>
        </w:tabs>
        <w:ind w:left="0" w:firstLine="0"/>
        <w:jc w:val="both"/>
        <w:rPr>
          <w:rFonts w:ascii="Arial" w:hAnsi="Arial" w:cs="Arial"/>
        </w:rPr>
      </w:pPr>
      <w:r>
        <w:rPr>
          <w:rFonts w:ascii="Arial" w:hAnsi="Arial" w:cs="Arial"/>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9"/>
          <w:rFonts w:ascii="Arial" w:hAnsi="Arial" w:cs="Arial"/>
        </w:rPr>
        <w:t>art. 94 da Lei 14.133, de 2021</w:t>
      </w:r>
      <w:r>
        <w:rPr>
          <w:rStyle w:val="9"/>
          <w:rFonts w:ascii="Arial" w:hAnsi="Arial" w:cs="Arial"/>
        </w:rPr>
        <w:fldChar w:fldCharType="end"/>
      </w:r>
      <w:r>
        <w:rPr>
          <w:rFonts w:ascii="Arial" w:hAnsi="Arial" w:cs="Arial"/>
        </w:rPr>
        <w:t xml:space="preserve">, bem como no respectivo sítio oficial na Internet, em atenção ao art. 91, </w:t>
      </w:r>
      <w:r>
        <w:rPr>
          <w:rFonts w:ascii="Arial" w:hAnsi="Arial" w:cs="Arial"/>
          <w:i/>
        </w:rPr>
        <w:t>caput,</w:t>
      </w:r>
      <w:r>
        <w:rPr>
          <w:rFonts w:ascii="Arial" w:hAnsi="Arial" w:cs="Arial"/>
        </w:rPr>
        <w:t xml:space="preserve"> da Lei n.º 14.133, de 2021, e ao </w:t>
      </w:r>
      <w:r>
        <w:fldChar w:fldCharType="begin"/>
      </w:r>
      <w:r>
        <w:instrText xml:space="preserve"> HYPERLINK "https://www.planalto.gov.br/ccivil_03/_ato2011-2014/2011/lei/l12527.htm" \l "art8§2" </w:instrText>
      </w:r>
      <w:r>
        <w:fldChar w:fldCharType="separate"/>
      </w:r>
      <w:r>
        <w:rPr>
          <w:rStyle w:val="9"/>
          <w:rFonts w:ascii="Arial" w:hAnsi="Arial" w:cs="Arial"/>
        </w:rPr>
        <w:t>art. 8º, §2º, da Lei n. 12.527, de 2011</w:t>
      </w:r>
      <w:r>
        <w:rPr>
          <w:rStyle w:val="9"/>
          <w:rFonts w:ascii="Arial" w:hAnsi="Arial" w:cs="Arial"/>
        </w:rPr>
        <w:fldChar w:fldCharType="end"/>
      </w:r>
      <w:r>
        <w:rPr>
          <w:rFonts w:ascii="Arial" w:hAnsi="Arial" w:cs="Arial"/>
        </w:rPr>
        <w:t xml:space="preserve">, c/c </w:t>
      </w:r>
      <w:r>
        <w:fldChar w:fldCharType="begin"/>
      </w:r>
      <w:r>
        <w:instrText xml:space="preserve"> HYPERLINK "https://www.planalto.gov.br/ccivil_03/_ato2011-2014/2012/decreto/d7724.htm" \l "art7§3" </w:instrText>
      </w:r>
      <w:r>
        <w:fldChar w:fldCharType="separate"/>
      </w:r>
      <w:r>
        <w:rPr>
          <w:rStyle w:val="9"/>
          <w:rFonts w:ascii="Arial" w:hAnsi="Arial" w:cs="Arial"/>
        </w:rPr>
        <w:t>art. 7º, §3º, inciso V, do Decreto n. 7.724, de 2012</w:t>
      </w:r>
      <w:r>
        <w:rPr>
          <w:rStyle w:val="9"/>
          <w:rFonts w:ascii="Arial" w:hAnsi="Arial" w:cs="Arial"/>
        </w:rPr>
        <w:fldChar w:fldCharType="end"/>
      </w:r>
      <w:r>
        <w:rPr>
          <w:rFonts w:ascii="Arial" w:hAnsi="Arial" w:cs="Arial"/>
        </w:rPr>
        <w:t>.</w:t>
      </w:r>
    </w:p>
    <w:p w14:paraId="011F46C5">
      <w:pPr>
        <w:pStyle w:val="44"/>
        <w:numPr>
          <w:ilvl w:val="0"/>
          <w:numId w:val="3"/>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9"/>
          <w:sz w:val="22"/>
          <w:szCs w:val="22"/>
        </w:rPr>
        <w:t>art. 92, §1º</w:t>
      </w:r>
      <w:r>
        <w:rPr>
          <w:rStyle w:val="9"/>
          <w:sz w:val="22"/>
          <w:szCs w:val="22"/>
        </w:rPr>
        <w:fldChar w:fldCharType="end"/>
      </w:r>
      <w:r>
        <w:rPr>
          <w:sz w:val="22"/>
          <w:szCs w:val="22"/>
        </w:rPr>
        <w:t>)</w:t>
      </w:r>
    </w:p>
    <w:p w14:paraId="5329B543">
      <w:pPr>
        <w:pStyle w:val="19"/>
        <w:numPr>
          <w:ilvl w:val="1"/>
          <w:numId w:val="3"/>
        </w:numPr>
        <w:tabs>
          <w:tab w:val="left" w:pos="426"/>
        </w:tabs>
        <w:ind w:left="0" w:firstLine="0"/>
        <w:jc w:val="both"/>
        <w:rPr>
          <w:rFonts w:ascii="Arial" w:hAnsi="Arial" w:cs="Arial"/>
          <w:lang w:val="pt-BR"/>
        </w:rPr>
      </w:pPr>
      <w:r>
        <w:rPr>
          <w:rFonts w:ascii="Arial" w:hAnsi="Arial" w:cs="Arial"/>
        </w:rPr>
        <w:t xml:space="preserve">É eleito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14:paraId="2192DB33">
      <w:pPr>
        <w:pStyle w:val="19"/>
        <w:numPr>
          <w:ilvl w:val="1"/>
          <w:numId w:val="3"/>
        </w:numPr>
        <w:tabs>
          <w:tab w:val="left" w:pos="426"/>
        </w:tabs>
        <w:ind w:left="0" w:firstLine="0"/>
        <w:jc w:val="both"/>
        <w:rPr>
          <w:rFonts w:ascii="Arial" w:hAnsi="Arial" w:cs="Arial"/>
        </w:rPr>
      </w:pPr>
      <w:r>
        <w:rPr>
          <w:rFonts w:ascii="Arial" w:hAnsi="Arial" w:cs="Arial"/>
        </w:rPr>
        <w:t xml:space="preserve">Para firmeza e validade do pactuado, o presente Termo de Contrato foi lavrado em 03 (três) vias de igual teor, que, depois de lido e achado em ordem, vai assinado pelos contraentes. </w:t>
      </w:r>
    </w:p>
    <w:p w14:paraId="643F1EBA">
      <w:pPr>
        <w:spacing w:before="120" w:after="120" w:line="276" w:lineRule="auto"/>
        <w:jc w:val="both"/>
        <w:rPr>
          <w:rFonts w:ascii="Arial" w:hAnsi="Arial" w:cs="Arial"/>
        </w:rPr>
      </w:pPr>
    </w:p>
    <w:p w14:paraId="490EFBF2">
      <w:pPr>
        <w:spacing w:after="120" w:line="360" w:lineRule="auto"/>
        <w:ind w:right="-15"/>
        <w:jc w:val="right"/>
        <w:rPr>
          <w:rFonts w:ascii="Arial" w:hAnsi="Arial" w:cs="Arial"/>
        </w:rPr>
      </w:pPr>
      <w:r>
        <w:rPr>
          <w:rFonts w:ascii="Arial" w:hAnsi="Arial" w:cs="Arial"/>
        </w:rPr>
        <w:t>...........................................,  .......... de.......................................... de 2026.</w:t>
      </w:r>
    </w:p>
    <w:p w14:paraId="028C062C">
      <w:pPr>
        <w:spacing w:after="120"/>
        <w:jc w:val="center"/>
        <w:rPr>
          <w:rFonts w:ascii="Arial" w:hAnsi="Arial" w:cs="Arial"/>
          <w:bCs/>
        </w:rPr>
      </w:pPr>
    </w:p>
    <w:p w14:paraId="3E22A711">
      <w:pPr>
        <w:spacing w:after="120"/>
        <w:jc w:val="center"/>
        <w:rPr>
          <w:rFonts w:ascii="Arial" w:hAnsi="Arial" w:cs="Arial"/>
          <w:bCs/>
        </w:rPr>
      </w:pPr>
    </w:p>
    <w:p w14:paraId="6D635C13">
      <w:pPr>
        <w:spacing w:after="120"/>
        <w:jc w:val="center"/>
        <w:rPr>
          <w:rFonts w:ascii="Arial" w:hAnsi="Arial" w:cs="Arial"/>
          <w:bCs/>
        </w:rPr>
      </w:pPr>
      <w:r>
        <w:rPr>
          <w:rFonts w:ascii="Arial" w:hAnsi="Arial" w:cs="Arial"/>
          <w:bCs/>
        </w:rPr>
        <w:t>_________________________</w:t>
      </w:r>
    </w:p>
    <w:p w14:paraId="2A5BB112">
      <w:pPr>
        <w:spacing w:after="120"/>
        <w:jc w:val="center"/>
        <w:rPr>
          <w:rFonts w:ascii="Arial" w:hAnsi="Arial" w:cs="Arial"/>
          <w:bCs/>
        </w:rPr>
      </w:pPr>
      <w:r>
        <w:rPr>
          <w:rFonts w:ascii="Arial" w:hAnsi="Arial" w:cs="Arial"/>
          <w:bCs/>
        </w:rPr>
        <w:t>Responsável legal da CONTRATANTE</w:t>
      </w:r>
    </w:p>
    <w:p w14:paraId="66C6F64D">
      <w:pPr>
        <w:spacing w:after="120"/>
        <w:jc w:val="center"/>
        <w:rPr>
          <w:rFonts w:ascii="Arial" w:hAnsi="Arial" w:cs="Arial"/>
        </w:rPr>
      </w:pPr>
    </w:p>
    <w:p w14:paraId="74E96A74">
      <w:pPr>
        <w:spacing w:after="120"/>
        <w:jc w:val="center"/>
        <w:rPr>
          <w:rFonts w:ascii="Arial" w:hAnsi="Arial" w:cs="Arial"/>
        </w:rPr>
      </w:pPr>
      <w:r>
        <w:rPr>
          <w:rFonts w:ascii="Arial" w:hAnsi="Arial" w:cs="Arial"/>
        </w:rPr>
        <w:t>_________________________</w:t>
      </w:r>
    </w:p>
    <w:p w14:paraId="327A867E">
      <w:pPr>
        <w:spacing w:after="120"/>
        <w:jc w:val="center"/>
        <w:rPr>
          <w:rFonts w:ascii="Arial" w:hAnsi="Arial" w:cs="Arial"/>
        </w:rPr>
      </w:pPr>
      <w:r>
        <w:rPr>
          <w:rFonts w:ascii="Arial" w:hAnsi="Arial" w:cs="Arial"/>
        </w:rPr>
        <w:t>Responsável legal da CONTRATADA</w:t>
      </w:r>
    </w:p>
    <w:p w14:paraId="776427D1">
      <w:pPr>
        <w:spacing w:after="120"/>
        <w:jc w:val="both"/>
        <w:rPr>
          <w:rFonts w:ascii="Arial" w:hAnsi="Arial" w:cs="Arial"/>
        </w:rPr>
      </w:pPr>
    </w:p>
    <w:p w14:paraId="36617934">
      <w:pPr>
        <w:spacing w:after="120"/>
        <w:jc w:val="both"/>
        <w:rPr>
          <w:rFonts w:ascii="Arial" w:hAnsi="Arial" w:cs="Arial"/>
        </w:rPr>
      </w:pPr>
      <w:r>
        <w:rPr>
          <w:rFonts w:ascii="Arial" w:hAnsi="Arial" w:cs="Arial"/>
        </w:rPr>
        <w:t>TESTEMUNHAS:</w:t>
      </w:r>
    </w:p>
    <w:p w14:paraId="60705A5A">
      <w:pPr>
        <w:spacing w:after="120"/>
        <w:jc w:val="both"/>
        <w:rPr>
          <w:rFonts w:ascii="Arial" w:hAnsi="Arial" w:cs="Arial"/>
        </w:rPr>
      </w:pPr>
      <w:r>
        <w:rPr>
          <w:rFonts w:ascii="Arial" w:hAnsi="Arial" w:cs="Arial"/>
        </w:rPr>
        <w:t>1-</w:t>
      </w:r>
    </w:p>
    <w:p w14:paraId="51347DA5">
      <w:pPr>
        <w:spacing w:after="120"/>
        <w:jc w:val="both"/>
        <w:rPr>
          <w:rFonts w:ascii="Arial" w:hAnsi="Arial" w:cs="Arial"/>
        </w:rPr>
      </w:pPr>
      <w:r>
        <w:rPr>
          <w:rFonts w:ascii="Arial" w:hAnsi="Arial" w:cs="Arial"/>
        </w:rPr>
        <w:t>2-</w:t>
      </w:r>
    </w:p>
    <w:p w14:paraId="6690381D">
      <w:pPr>
        <w:spacing w:after="120"/>
        <w:jc w:val="both"/>
        <w:rPr>
          <w:rFonts w:ascii="Arial" w:hAnsi="Arial" w:cs="Arial"/>
        </w:rPr>
      </w:pPr>
    </w:p>
    <w:sectPr>
      <w:headerReference r:id="rId5" w:type="first"/>
      <w:footerReference r:id="rId8" w:type="first"/>
      <w:headerReference r:id="rId3" w:type="default"/>
      <w:footerReference r:id="rId6" w:type="default"/>
      <w:headerReference r:id="rId4" w:type="even"/>
      <w:footerReference r:id="rId7" w:type="even"/>
      <w:pgSz w:w="11910" w:h="16840"/>
      <w:pgMar w:top="1418" w:right="1418" w:bottom="1418" w:left="1418" w:header="284"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panose1 w:val="02000000000000000000"/>
    <w:charset w:val="00"/>
    <w:family w:val="modern"/>
    <w:pitch w:val="default"/>
    <w:sig w:usb0="00000007" w:usb1="00000000" w:usb2="00000000" w:usb3="00000000" w:csb0="2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623E8E">
    <w:pPr>
      <w:pStyle w:val="15"/>
      <w:jc w:val="center"/>
      <w:rPr>
        <w:rFonts w:ascii="Azo Sans Md" w:hAnsi="Azo Sans Md"/>
        <w:b/>
        <w:bCs/>
        <w:color w:val="000000"/>
        <w:sz w:val="18"/>
        <w:szCs w:val="18"/>
      </w:rPr>
    </w:pPr>
  </w:p>
  <w:p w14:paraId="65AED600">
    <w:pPr>
      <w:pStyle w:val="15"/>
      <w:jc w:val="center"/>
      <w:rPr>
        <w:rFonts w:ascii="Arial" w:hAnsi="Arial" w:cs="Arial"/>
        <w:color w:val="000000"/>
        <w:sz w:val="18"/>
        <w:szCs w:val="18"/>
      </w:rPr>
    </w:pPr>
    <w:r>
      <w:rPr>
        <w:rFonts w:ascii="Arial" w:hAnsi="Arial" w:cs="Arial"/>
        <w:color w:val="000000"/>
        <w:sz w:val="18"/>
        <w:szCs w:val="18"/>
      </w:rPr>
      <w:t>Av. Alberto Braune, nº 224 – sobreloja – Centro – Nova Friburgo – RJ</w:t>
    </w:r>
  </w:p>
  <w:p w14:paraId="3143EBEE">
    <w:pPr>
      <w:pStyle w:val="15"/>
      <w:jc w:val="center"/>
      <w:rPr>
        <w:rFonts w:ascii="Arial" w:hAnsi="Arial" w:cs="Arial"/>
        <w:color w:val="000000"/>
        <w:sz w:val="18"/>
        <w:szCs w:val="18"/>
      </w:rPr>
    </w:pPr>
    <w:r>
      <w:rPr>
        <w:rFonts w:ascii="Arial" w:hAnsi="Arial" w:cs="Arial"/>
        <w:color w:val="000000"/>
        <w:sz w:val="18"/>
        <w:szCs w:val="18"/>
      </w:rPr>
      <w:t xml:space="preserve">CNPJ: 28.606.630/0001- 23 - e-mail: </w:t>
    </w:r>
    <w:r>
      <w:fldChar w:fldCharType="begin"/>
    </w:r>
    <w:r>
      <w:instrText xml:space="preserve"> HYPERLINK "mailto:pregaoeletronico.friburgo@gmail.com" </w:instrText>
    </w:r>
    <w:r>
      <w:fldChar w:fldCharType="separate"/>
    </w:r>
    <w:r>
      <w:rPr>
        <w:rStyle w:val="9"/>
        <w:rFonts w:ascii="Arial" w:hAnsi="Arial" w:cs="Arial"/>
        <w:sz w:val="18"/>
        <w:szCs w:val="18"/>
      </w:rPr>
      <w:t>pregaoeletronico.friburgo@gmail.com</w:t>
    </w:r>
    <w:r>
      <w:rPr>
        <w:rStyle w:val="9"/>
        <w:rFonts w:ascii="Arial" w:hAnsi="Arial" w:cs="Arial"/>
        <w:sz w:val="18"/>
        <w:szCs w:val="18"/>
      </w:rPr>
      <w:fldChar w:fldCharType="end"/>
    </w:r>
    <w:r>
      <w:rPr>
        <w:rFonts w:ascii="Arial" w:hAnsi="Arial" w:cs="Arial"/>
        <w:color w:val="000000"/>
        <w:sz w:val="18"/>
        <w:szCs w:val="18"/>
      </w:rPr>
      <w:t xml:space="preserve"> – Telefone: (22) 2525-9100 – </w:t>
    </w:r>
  </w:p>
  <w:p w14:paraId="613A48A7">
    <w:pPr>
      <w:pStyle w:val="15"/>
      <w:jc w:val="center"/>
      <w:rPr>
        <w:rFonts w:ascii="Arial" w:hAnsi="Arial" w:cs="Arial"/>
        <w:color w:val="000000"/>
        <w:sz w:val="18"/>
        <w:szCs w:val="18"/>
      </w:rPr>
    </w:pPr>
    <w:r>
      <w:rPr>
        <w:rFonts w:ascii="Arial" w:hAnsi="Arial" w:cs="Arial"/>
        <w:color w:val="000000"/>
        <w:sz w:val="18"/>
        <w:szCs w:val="18"/>
      </w:rPr>
      <w:t>(22) 2525-9101</w:t>
    </w:r>
  </w:p>
  <w:p w14:paraId="4EDE7439">
    <w:pPr>
      <w:pStyle w:val="15"/>
      <w:jc w:val="center"/>
      <w:rPr>
        <w:rFonts w:ascii="Arial" w:hAnsi="Arial" w:cs="Arial"/>
        <w:color w:val="000000"/>
        <w:sz w:val="18"/>
        <w:szCs w:val="18"/>
      </w:rPr>
    </w:pPr>
  </w:p>
  <w:p w14:paraId="29A657EE">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512A65">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868164">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EFFBC6">
    <w:pPr>
      <w:pStyle w:val="14"/>
      <w:ind w:left="0" w:leftChars="0" w:firstLine="0" w:firstLineChars="0"/>
      <w:rPr>
        <w:rFonts w:ascii="Times New Roman" w:hAnsi="Times New Roman" w:eastAsia="Times New Roman" w:cs="Times New Roman"/>
        <w:sz w:val="28"/>
        <w:szCs w:val="20"/>
        <w:lang w:val="pt-BR" w:eastAsia="zh-CN"/>
      </w:rPr>
    </w:pPr>
    <w:r>
      <w:rPr>
        <w:rFonts w:ascii="Times New Roman" w:hAnsi="Times New Roman" w:eastAsia="Times New Roman" w:cs="Times New Roman"/>
        <w:sz w:val="28"/>
        <w:szCs w:val="20"/>
        <w:lang w:val="pt-BR" w:eastAsia="zh-CN"/>
      </w:rPr>
      <w:drawing>
        <wp:inline distT="0" distB="0" distL="114300" distR="114300">
          <wp:extent cx="5708650" cy="922655"/>
          <wp:effectExtent l="0" t="0" r="0" b="0"/>
          <wp:docPr id="1" name="Imagem 1" descr="Secretaria de Proteção e Defesa Civ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Proteção e Defesa Civil"/>
                  <pic:cNvPicPr>
                    <a:picLocks noChangeAspect="1"/>
                  </pic:cNvPicPr>
                </pic:nvPicPr>
                <pic:blipFill>
                  <a:blip r:embed="rId1"/>
                  <a:stretch>
                    <a:fillRect/>
                  </a:stretch>
                </pic:blipFill>
                <pic:spPr>
                  <a:xfrm>
                    <a:off x="0" y="0"/>
                    <a:ext cx="5708650" cy="922655"/>
                  </a:xfrm>
                  <a:prstGeom prst="rect">
                    <a:avLst/>
                  </a:prstGeom>
                </pic:spPr>
              </pic:pic>
            </a:graphicData>
          </a:graphic>
        </wp:inline>
      </w:drawing>
    </w:r>
  </w:p>
  <w:p w14:paraId="7B59D844">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14:paraId="5F474BF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ABDC6D">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4EBF4">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rPr>
    </w:lvl>
    <w:lvl w:ilvl="1" w:tentative="0">
      <w:start w:val="1"/>
      <w:numFmt w:val="decimal"/>
      <w:isLgl/>
      <w:lvlText w:val="%1.%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43FA7"/>
    <w:rsid w:val="00055A35"/>
    <w:rsid w:val="00060815"/>
    <w:rsid w:val="00064A3F"/>
    <w:rsid w:val="000659B7"/>
    <w:rsid w:val="0007531B"/>
    <w:rsid w:val="00085E40"/>
    <w:rsid w:val="0008627F"/>
    <w:rsid w:val="00090A03"/>
    <w:rsid w:val="00090C31"/>
    <w:rsid w:val="00092735"/>
    <w:rsid w:val="00097D7B"/>
    <w:rsid w:val="000A1E64"/>
    <w:rsid w:val="000B23ED"/>
    <w:rsid w:val="000D17CB"/>
    <w:rsid w:val="000D45F1"/>
    <w:rsid w:val="000D6176"/>
    <w:rsid w:val="000E1E87"/>
    <w:rsid w:val="000E4CF2"/>
    <w:rsid w:val="000E4D70"/>
    <w:rsid w:val="000E6000"/>
    <w:rsid w:val="000E684C"/>
    <w:rsid w:val="000E6DAE"/>
    <w:rsid w:val="000E7913"/>
    <w:rsid w:val="000F0F17"/>
    <w:rsid w:val="000F2826"/>
    <w:rsid w:val="000F46E9"/>
    <w:rsid w:val="000F4D4D"/>
    <w:rsid w:val="00100FEB"/>
    <w:rsid w:val="0010179C"/>
    <w:rsid w:val="00102A53"/>
    <w:rsid w:val="001079D7"/>
    <w:rsid w:val="001149D8"/>
    <w:rsid w:val="001159AE"/>
    <w:rsid w:val="001272CC"/>
    <w:rsid w:val="00130DCF"/>
    <w:rsid w:val="00134FCE"/>
    <w:rsid w:val="00135F0B"/>
    <w:rsid w:val="0014449B"/>
    <w:rsid w:val="00147B9F"/>
    <w:rsid w:val="0015173F"/>
    <w:rsid w:val="0015751B"/>
    <w:rsid w:val="00165D70"/>
    <w:rsid w:val="001767E4"/>
    <w:rsid w:val="00181313"/>
    <w:rsid w:val="00185DBF"/>
    <w:rsid w:val="00187C1B"/>
    <w:rsid w:val="00193060"/>
    <w:rsid w:val="0019666A"/>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1F90"/>
    <w:rsid w:val="00264522"/>
    <w:rsid w:val="002663BD"/>
    <w:rsid w:val="00266B10"/>
    <w:rsid w:val="0027128E"/>
    <w:rsid w:val="00276B5D"/>
    <w:rsid w:val="0028199E"/>
    <w:rsid w:val="0028504B"/>
    <w:rsid w:val="00296174"/>
    <w:rsid w:val="002A4753"/>
    <w:rsid w:val="002A5731"/>
    <w:rsid w:val="002A7071"/>
    <w:rsid w:val="002B28F4"/>
    <w:rsid w:val="002B3DAB"/>
    <w:rsid w:val="002E0D02"/>
    <w:rsid w:val="002E43FD"/>
    <w:rsid w:val="002E71FD"/>
    <w:rsid w:val="002F2CC8"/>
    <w:rsid w:val="002F30A4"/>
    <w:rsid w:val="002F585C"/>
    <w:rsid w:val="00315F43"/>
    <w:rsid w:val="00320761"/>
    <w:rsid w:val="0032285B"/>
    <w:rsid w:val="00323F3D"/>
    <w:rsid w:val="00326DB2"/>
    <w:rsid w:val="003370B0"/>
    <w:rsid w:val="003378B0"/>
    <w:rsid w:val="00342284"/>
    <w:rsid w:val="003444FD"/>
    <w:rsid w:val="00347799"/>
    <w:rsid w:val="0035743C"/>
    <w:rsid w:val="003578AC"/>
    <w:rsid w:val="003649A2"/>
    <w:rsid w:val="00366D5F"/>
    <w:rsid w:val="00370B10"/>
    <w:rsid w:val="00374B3F"/>
    <w:rsid w:val="00380F2F"/>
    <w:rsid w:val="0038358C"/>
    <w:rsid w:val="00385663"/>
    <w:rsid w:val="00385B86"/>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4E5D"/>
    <w:rsid w:val="00415976"/>
    <w:rsid w:val="00415C1A"/>
    <w:rsid w:val="00417717"/>
    <w:rsid w:val="00430C16"/>
    <w:rsid w:val="0043121B"/>
    <w:rsid w:val="00436587"/>
    <w:rsid w:val="00442048"/>
    <w:rsid w:val="0044502E"/>
    <w:rsid w:val="004549BE"/>
    <w:rsid w:val="00461F93"/>
    <w:rsid w:val="00466044"/>
    <w:rsid w:val="00466BF6"/>
    <w:rsid w:val="004735E6"/>
    <w:rsid w:val="0047582C"/>
    <w:rsid w:val="00475936"/>
    <w:rsid w:val="0048007A"/>
    <w:rsid w:val="004959AC"/>
    <w:rsid w:val="004A09DC"/>
    <w:rsid w:val="004A1537"/>
    <w:rsid w:val="004A20F0"/>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22A3"/>
    <w:rsid w:val="00583909"/>
    <w:rsid w:val="00594591"/>
    <w:rsid w:val="005C402B"/>
    <w:rsid w:val="005D7CC0"/>
    <w:rsid w:val="005E2922"/>
    <w:rsid w:val="005E753D"/>
    <w:rsid w:val="005F5E8D"/>
    <w:rsid w:val="005F6177"/>
    <w:rsid w:val="00604469"/>
    <w:rsid w:val="00612436"/>
    <w:rsid w:val="006142F9"/>
    <w:rsid w:val="00614DC0"/>
    <w:rsid w:val="00617943"/>
    <w:rsid w:val="00617E05"/>
    <w:rsid w:val="00620E2E"/>
    <w:rsid w:val="00623F21"/>
    <w:rsid w:val="0062482D"/>
    <w:rsid w:val="006306EF"/>
    <w:rsid w:val="00633BD8"/>
    <w:rsid w:val="00637E49"/>
    <w:rsid w:val="00641674"/>
    <w:rsid w:val="00645026"/>
    <w:rsid w:val="00646682"/>
    <w:rsid w:val="006709DA"/>
    <w:rsid w:val="0067457F"/>
    <w:rsid w:val="00691421"/>
    <w:rsid w:val="006A1B6A"/>
    <w:rsid w:val="006B62AB"/>
    <w:rsid w:val="006C7188"/>
    <w:rsid w:val="006D48A5"/>
    <w:rsid w:val="006D4909"/>
    <w:rsid w:val="006D6562"/>
    <w:rsid w:val="006E5958"/>
    <w:rsid w:val="006E635F"/>
    <w:rsid w:val="006F0ECE"/>
    <w:rsid w:val="00702E9E"/>
    <w:rsid w:val="007168B3"/>
    <w:rsid w:val="0071720D"/>
    <w:rsid w:val="00722F56"/>
    <w:rsid w:val="007270C7"/>
    <w:rsid w:val="00735ADD"/>
    <w:rsid w:val="00741433"/>
    <w:rsid w:val="007476E1"/>
    <w:rsid w:val="0075018C"/>
    <w:rsid w:val="007506FB"/>
    <w:rsid w:val="0075652C"/>
    <w:rsid w:val="00763341"/>
    <w:rsid w:val="00773AA0"/>
    <w:rsid w:val="007767C7"/>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518A"/>
    <w:rsid w:val="008A046D"/>
    <w:rsid w:val="008A31DA"/>
    <w:rsid w:val="008A72D1"/>
    <w:rsid w:val="008B0E02"/>
    <w:rsid w:val="008B1D7C"/>
    <w:rsid w:val="008B71AC"/>
    <w:rsid w:val="008C13A3"/>
    <w:rsid w:val="008C47CA"/>
    <w:rsid w:val="008C4D64"/>
    <w:rsid w:val="008C4FC6"/>
    <w:rsid w:val="008C6F60"/>
    <w:rsid w:val="008D3457"/>
    <w:rsid w:val="008D5F7A"/>
    <w:rsid w:val="008D78EA"/>
    <w:rsid w:val="008E1A25"/>
    <w:rsid w:val="008E4F62"/>
    <w:rsid w:val="008E5AD6"/>
    <w:rsid w:val="008E65D4"/>
    <w:rsid w:val="008E6D4F"/>
    <w:rsid w:val="008F5D23"/>
    <w:rsid w:val="0090165D"/>
    <w:rsid w:val="009039E8"/>
    <w:rsid w:val="009061B6"/>
    <w:rsid w:val="009063BB"/>
    <w:rsid w:val="009162EB"/>
    <w:rsid w:val="0092129B"/>
    <w:rsid w:val="009213D5"/>
    <w:rsid w:val="009327CB"/>
    <w:rsid w:val="009335AB"/>
    <w:rsid w:val="00941655"/>
    <w:rsid w:val="00944FFE"/>
    <w:rsid w:val="00954199"/>
    <w:rsid w:val="009553C6"/>
    <w:rsid w:val="00956E65"/>
    <w:rsid w:val="00971993"/>
    <w:rsid w:val="00972DD9"/>
    <w:rsid w:val="00974672"/>
    <w:rsid w:val="00974A4B"/>
    <w:rsid w:val="00975829"/>
    <w:rsid w:val="0097688D"/>
    <w:rsid w:val="0097702B"/>
    <w:rsid w:val="009872FB"/>
    <w:rsid w:val="009877CB"/>
    <w:rsid w:val="009A16F5"/>
    <w:rsid w:val="009B3712"/>
    <w:rsid w:val="009B3F0F"/>
    <w:rsid w:val="009C02ED"/>
    <w:rsid w:val="009C3548"/>
    <w:rsid w:val="009D2CA1"/>
    <w:rsid w:val="009F2F85"/>
    <w:rsid w:val="00A06D2F"/>
    <w:rsid w:val="00A111BA"/>
    <w:rsid w:val="00A14FF7"/>
    <w:rsid w:val="00A229E2"/>
    <w:rsid w:val="00A23D36"/>
    <w:rsid w:val="00A26E98"/>
    <w:rsid w:val="00A27B94"/>
    <w:rsid w:val="00A327A0"/>
    <w:rsid w:val="00A74974"/>
    <w:rsid w:val="00A75B6C"/>
    <w:rsid w:val="00A87002"/>
    <w:rsid w:val="00A92914"/>
    <w:rsid w:val="00A94653"/>
    <w:rsid w:val="00A96E16"/>
    <w:rsid w:val="00AA4EF9"/>
    <w:rsid w:val="00AC1FD2"/>
    <w:rsid w:val="00AC69AD"/>
    <w:rsid w:val="00AD022C"/>
    <w:rsid w:val="00AE2539"/>
    <w:rsid w:val="00AE7153"/>
    <w:rsid w:val="00AF4EE0"/>
    <w:rsid w:val="00AF5DD4"/>
    <w:rsid w:val="00AF6B88"/>
    <w:rsid w:val="00B0084D"/>
    <w:rsid w:val="00B01D5F"/>
    <w:rsid w:val="00B02294"/>
    <w:rsid w:val="00B03288"/>
    <w:rsid w:val="00B061E6"/>
    <w:rsid w:val="00B12062"/>
    <w:rsid w:val="00B13DC2"/>
    <w:rsid w:val="00B17BE8"/>
    <w:rsid w:val="00B25D0B"/>
    <w:rsid w:val="00B26F60"/>
    <w:rsid w:val="00B27105"/>
    <w:rsid w:val="00B30CA0"/>
    <w:rsid w:val="00B34CEA"/>
    <w:rsid w:val="00B35782"/>
    <w:rsid w:val="00B367AB"/>
    <w:rsid w:val="00B37399"/>
    <w:rsid w:val="00B375EA"/>
    <w:rsid w:val="00B42A6A"/>
    <w:rsid w:val="00B51D0D"/>
    <w:rsid w:val="00B52F88"/>
    <w:rsid w:val="00B676BB"/>
    <w:rsid w:val="00B721DC"/>
    <w:rsid w:val="00B92016"/>
    <w:rsid w:val="00B923BE"/>
    <w:rsid w:val="00BA1327"/>
    <w:rsid w:val="00BA2AC6"/>
    <w:rsid w:val="00BA68EF"/>
    <w:rsid w:val="00BB0633"/>
    <w:rsid w:val="00BB36D3"/>
    <w:rsid w:val="00BB3B8F"/>
    <w:rsid w:val="00BB408F"/>
    <w:rsid w:val="00BB527C"/>
    <w:rsid w:val="00BB61D2"/>
    <w:rsid w:val="00BE3C4E"/>
    <w:rsid w:val="00BE3CE6"/>
    <w:rsid w:val="00BE40A2"/>
    <w:rsid w:val="00BE429A"/>
    <w:rsid w:val="00BE4E9F"/>
    <w:rsid w:val="00BF196C"/>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A5F9F"/>
    <w:rsid w:val="00CA66DF"/>
    <w:rsid w:val="00CB6468"/>
    <w:rsid w:val="00CB7984"/>
    <w:rsid w:val="00CC0C99"/>
    <w:rsid w:val="00CC288A"/>
    <w:rsid w:val="00CC666F"/>
    <w:rsid w:val="00CE1CB6"/>
    <w:rsid w:val="00CF467B"/>
    <w:rsid w:val="00D048D4"/>
    <w:rsid w:val="00D06A05"/>
    <w:rsid w:val="00D22F45"/>
    <w:rsid w:val="00D2348E"/>
    <w:rsid w:val="00D23C8F"/>
    <w:rsid w:val="00D249B9"/>
    <w:rsid w:val="00D2776D"/>
    <w:rsid w:val="00D27AFB"/>
    <w:rsid w:val="00D5096A"/>
    <w:rsid w:val="00D653DF"/>
    <w:rsid w:val="00D7231B"/>
    <w:rsid w:val="00D7299B"/>
    <w:rsid w:val="00D73E45"/>
    <w:rsid w:val="00D80C21"/>
    <w:rsid w:val="00D90EA5"/>
    <w:rsid w:val="00D9158F"/>
    <w:rsid w:val="00D97BF6"/>
    <w:rsid w:val="00DA0D02"/>
    <w:rsid w:val="00DA57AB"/>
    <w:rsid w:val="00DA7D88"/>
    <w:rsid w:val="00DB1B33"/>
    <w:rsid w:val="00DB4906"/>
    <w:rsid w:val="00DB6EA1"/>
    <w:rsid w:val="00DC58C6"/>
    <w:rsid w:val="00DC6CC7"/>
    <w:rsid w:val="00DC6FCA"/>
    <w:rsid w:val="00DD641A"/>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F6AA9"/>
    <w:rsid w:val="00F232EF"/>
    <w:rsid w:val="00F30FF9"/>
    <w:rsid w:val="00F32C26"/>
    <w:rsid w:val="00F336C7"/>
    <w:rsid w:val="00F37352"/>
    <w:rsid w:val="00F40051"/>
    <w:rsid w:val="00F45FFC"/>
    <w:rsid w:val="00F46439"/>
    <w:rsid w:val="00F57615"/>
    <w:rsid w:val="00F829FD"/>
    <w:rsid w:val="00FA307E"/>
    <w:rsid w:val="00FA5861"/>
    <w:rsid w:val="00FB230B"/>
    <w:rsid w:val="00FB71A6"/>
    <w:rsid w:val="00FC22BB"/>
    <w:rsid w:val="00FD2171"/>
    <w:rsid w:val="00FD7FE7"/>
    <w:rsid w:val="00FE6985"/>
    <w:rsid w:val="00FF2E17"/>
    <w:rsid w:val="06943026"/>
    <w:rsid w:val="085D3AB8"/>
    <w:rsid w:val="0A581ABE"/>
    <w:rsid w:val="0D297701"/>
    <w:rsid w:val="0D44626F"/>
    <w:rsid w:val="0D786D63"/>
    <w:rsid w:val="0DFF61AA"/>
    <w:rsid w:val="0E7B7B21"/>
    <w:rsid w:val="0EEE45B5"/>
    <w:rsid w:val="0F0553C5"/>
    <w:rsid w:val="10160B00"/>
    <w:rsid w:val="11CC2ACE"/>
    <w:rsid w:val="13396E19"/>
    <w:rsid w:val="134B5EC3"/>
    <w:rsid w:val="138D60E6"/>
    <w:rsid w:val="193479A8"/>
    <w:rsid w:val="1AF72D93"/>
    <w:rsid w:val="1FD12E07"/>
    <w:rsid w:val="26446F21"/>
    <w:rsid w:val="285C7FF3"/>
    <w:rsid w:val="295F04E6"/>
    <w:rsid w:val="2A631735"/>
    <w:rsid w:val="2DCB6697"/>
    <w:rsid w:val="30245B6C"/>
    <w:rsid w:val="32102763"/>
    <w:rsid w:val="328D4083"/>
    <w:rsid w:val="391640FA"/>
    <w:rsid w:val="3AED440D"/>
    <w:rsid w:val="3C0A7CA4"/>
    <w:rsid w:val="3C4D19A5"/>
    <w:rsid w:val="3C9967A2"/>
    <w:rsid w:val="3D035FE0"/>
    <w:rsid w:val="3D361311"/>
    <w:rsid w:val="3F5B6595"/>
    <w:rsid w:val="42591B27"/>
    <w:rsid w:val="46335AF5"/>
    <w:rsid w:val="463E42BC"/>
    <w:rsid w:val="49954254"/>
    <w:rsid w:val="4CF857AE"/>
    <w:rsid w:val="4D0261C3"/>
    <w:rsid w:val="501F24D5"/>
    <w:rsid w:val="50E9546C"/>
    <w:rsid w:val="52C11B96"/>
    <w:rsid w:val="58F7282F"/>
    <w:rsid w:val="5911131E"/>
    <w:rsid w:val="5A67652A"/>
    <w:rsid w:val="5C237373"/>
    <w:rsid w:val="5D3518D6"/>
    <w:rsid w:val="60756BEC"/>
    <w:rsid w:val="623C6820"/>
    <w:rsid w:val="626E6E74"/>
    <w:rsid w:val="65537436"/>
    <w:rsid w:val="655965EF"/>
    <w:rsid w:val="67FA7466"/>
    <w:rsid w:val="68532C20"/>
    <w:rsid w:val="6A3D57B2"/>
    <w:rsid w:val="72A37D31"/>
    <w:rsid w:val="749B1192"/>
    <w:rsid w:val="74F252D2"/>
    <w:rsid w:val="779C3C5A"/>
    <w:rsid w:val="77B2358A"/>
    <w:rsid w:val="77ED6FA5"/>
    <w:rsid w:val="79174193"/>
    <w:rsid w:val="7B556533"/>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9">
    <w:name w:val="Hyperlink"/>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49"/>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0"/>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qFormat/>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5"/>
    <w:qFormat/>
    <w:uiPriority w:val="34"/>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0"/>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qFormat/>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qFormat/>
    <w:uiPriority w:val="0"/>
    <w:rPr>
      <w:rFonts w:ascii="Ecofont_Spranq_eco_Sans" w:hAnsi="Ecofont_Spranq_eco_Sans" w:cs="Times New Roman" w:eastAsiaTheme="majorEastAsia"/>
      <w:b/>
      <w:bCs/>
    </w:rPr>
  </w:style>
  <w:style w:type="character" w:customStyle="1" w:styleId="36">
    <w:name w:val="Texto de balão Char"/>
    <w:basedOn w:val="5"/>
    <w:link w:val="16"/>
    <w:semiHidden/>
    <w:qFormat/>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Unresolved Mention"/>
    <w:basedOn w:val="5"/>
    <w:semiHidden/>
    <w:unhideWhenUsed/>
    <w:qFormat/>
    <w:uiPriority w:val="99"/>
    <w:rPr>
      <w:color w:val="605E5C"/>
      <w:shd w:val="clear" w:color="auto" w:fill="E1DFDD"/>
    </w:rPr>
  </w:style>
  <w:style w:type="paragraph" w:customStyle="1" w:styleId="43">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4">
    <w:name w:val="Nivel 01"/>
    <w:basedOn w:val="2"/>
    <w:next w:val="1"/>
    <w:link w:val="57"/>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5">
    <w:name w:val="Nivel 2"/>
    <w:basedOn w:val="1"/>
    <w:link w:val="54"/>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6">
    <w:name w:val="Nivel 3"/>
    <w:basedOn w:val="1"/>
    <w:link w:val="56"/>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7">
    <w:name w:val="Nivel 4"/>
    <w:basedOn w:val="46"/>
    <w:link w:val="60"/>
    <w:qFormat/>
    <w:uiPriority w:val="0"/>
    <w:pPr>
      <w:ind w:left="567"/>
    </w:pPr>
    <w:rPr>
      <w:color w:val="auto"/>
    </w:rPr>
  </w:style>
  <w:style w:type="paragraph" w:customStyle="1" w:styleId="48">
    <w:name w:val="Nivel 5"/>
    <w:basedOn w:val="47"/>
    <w:qFormat/>
    <w:uiPriority w:val="0"/>
    <w:pPr>
      <w:ind w:left="1276"/>
    </w:pPr>
  </w:style>
  <w:style w:type="character" w:customStyle="1" w:styleId="49">
    <w:name w:val="Texto de comentário Char"/>
    <w:basedOn w:val="5"/>
    <w:link w:val="11"/>
    <w:qFormat/>
    <w:uiPriority w:val="99"/>
    <w:rPr>
      <w:rFonts w:ascii="Ecofont_Spranq_eco_Sans" w:hAnsi="Ecofont_Spranq_eco_Sans" w:cs="Tahoma" w:eastAsiaTheme="minorEastAsia"/>
    </w:rPr>
  </w:style>
  <w:style w:type="paragraph" w:customStyle="1" w:styleId="50">
    <w:name w:val="Nível 2 -Red"/>
    <w:basedOn w:val="45"/>
    <w:link w:val="51"/>
    <w:qFormat/>
    <w:uiPriority w:val="0"/>
    <w:pPr>
      <w:numPr>
        <w:ilvl w:val="1"/>
        <w:numId w:val="2"/>
      </w:numPr>
    </w:pPr>
    <w:rPr>
      <w:i/>
      <w:iCs/>
      <w:color w:val="FF0000"/>
    </w:rPr>
  </w:style>
  <w:style w:type="character" w:customStyle="1" w:styleId="51">
    <w:name w:val="Nível 2 -Red Char"/>
    <w:basedOn w:val="5"/>
    <w:link w:val="50"/>
    <w:qFormat/>
    <w:uiPriority w:val="0"/>
    <w:rPr>
      <w:rFonts w:ascii="Arial" w:hAnsi="Arial" w:cs="Arial" w:eastAsiaTheme="minorEastAsia"/>
      <w:i/>
      <w:iCs/>
      <w:color w:val="FF0000"/>
    </w:rPr>
  </w:style>
  <w:style w:type="paragraph" w:customStyle="1" w:styleId="52">
    <w:name w:val="ou"/>
    <w:basedOn w:val="19"/>
    <w:link w:val="53"/>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3">
    <w:name w:val="ou Char"/>
    <w:basedOn w:val="5"/>
    <w:link w:val="52"/>
    <w:qFormat/>
    <w:uiPriority w:val="0"/>
    <w:rPr>
      <w:rFonts w:ascii="Arial" w:hAnsi="Arial" w:cs="Arial"/>
      <w:b/>
      <w:bCs/>
      <w:i/>
      <w:iCs/>
      <w:color w:val="FF0000"/>
      <w:sz w:val="24"/>
      <w:szCs w:val="24"/>
      <w:u w:val="single"/>
    </w:rPr>
  </w:style>
  <w:style w:type="character" w:customStyle="1" w:styleId="54">
    <w:name w:val="Nivel 2 Char"/>
    <w:basedOn w:val="5"/>
    <w:link w:val="45"/>
    <w:qFormat/>
    <w:locked/>
    <w:uiPriority w:val="0"/>
    <w:rPr>
      <w:rFonts w:ascii="Arial" w:hAnsi="Arial" w:cs="Arial" w:eastAsiaTheme="minorEastAsia"/>
      <w:color w:val="000000"/>
    </w:rPr>
  </w:style>
  <w:style w:type="character" w:customStyle="1" w:styleId="55">
    <w:name w:val="Parágrafo da Lista Char"/>
    <w:basedOn w:val="5"/>
    <w:link w:val="19"/>
    <w:qFormat/>
    <w:uiPriority w:val="34"/>
    <w:rPr>
      <w:rFonts w:ascii="Verdana" w:hAnsi="Verdana" w:eastAsia="Verdana" w:cs="Verdana"/>
      <w:sz w:val="22"/>
      <w:szCs w:val="22"/>
      <w:lang w:val="pt-PT" w:eastAsia="en-US"/>
    </w:rPr>
  </w:style>
  <w:style w:type="character" w:customStyle="1" w:styleId="56">
    <w:name w:val="Nivel 3 Char"/>
    <w:basedOn w:val="5"/>
    <w:link w:val="46"/>
    <w:qFormat/>
    <w:uiPriority w:val="0"/>
    <w:rPr>
      <w:rFonts w:ascii="Arial" w:hAnsi="Arial" w:cs="Arial" w:eastAsiaTheme="minorEastAsia"/>
      <w:color w:val="000000"/>
    </w:rPr>
  </w:style>
  <w:style w:type="character" w:customStyle="1" w:styleId="57">
    <w:name w:val="Nivel 01 Char"/>
    <w:basedOn w:val="5"/>
    <w:link w:val="44"/>
    <w:qFormat/>
    <w:uiPriority w:val="0"/>
    <w:rPr>
      <w:rFonts w:ascii="Arial" w:hAnsi="Arial" w:cs="Arial" w:eastAsiaTheme="majorEastAsia"/>
      <w:b/>
      <w:bCs/>
    </w:rPr>
  </w:style>
  <w:style w:type="character" w:customStyle="1" w:styleId="58">
    <w:name w:val="Nível 3-R Char"/>
    <w:basedOn w:val="5"/>
    <w:link w:val="59"/>
    <w:qFormat/>
    <w:locked/>
    <w:uiPriority w:val="0"/>
    <w:rPr>
      <w:rFonts w:ascii="Arial" w:hAnsi="Arial" w:cs="Arial"/>
      <w:i/>
      <w:iCs/>
      <w:color w:val="FF0000"/>
    </w:rPr>
  </w:style>
  <w:style w:type="paragraph" w:customStyle="1" w:styleId="59">
    <w:name w:val="Nível 3-R"/>
    <w:basedOn w:val="46"/>
    <w:link w:val="58"/>
    <w:qFormat/>
    <w:uiPriority w:val="0"/>
    <w:pPr>
      <w:numPr>
        <w:ilvl w:val="2"/>
        <w:numId w:val="2"/>
      </w:numPr>
    </w:pPr>
    <w:rPr>
      <w:rFonts w:eastAsiaTheme="minorHAnsi"/>
      <w:i/>
      <w:iCs/>
      <w:color w:val="FF0000"/>
    </w:rPr>
  </w:style>
  <w:style w:type="character" w:customStyle="1" w:styleId="60">
    <w:name w:val="Nivel 4 Char"/>
    <w:basedOn w:val="5"/>
    <w:link w:val="47"/>
    <w:qFormat/>
    <w:locked/>
    <w:uiPriority w:val="0"/>
    <w:rPr>
      <w:rFonts w:ascii="Arial" w:hAnsi="Arial" w:cs="Arial" w:eastAsiaTheme="minorEastAsia"/>
    </w:rPr>
  </w:style>
  <w:style w:type="table" w:customStyle="1" w:styleId="61">
    <w:name w:val="_Style 60"/>
    <w:basedOn w:val="18"/>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13</Pages>
  <Words>5363</Words>
  <Characters>28963</Characters>
  <Lines>241</Lines>
  <Paragraphs>68</Paragraphs>
  <TotalTime>20</TotalTime>
  <ScaleCrop>false</ScaleCrop>
  <LinksUpToDate>false</LinksUpToDate>
  <CharactersWithSpaces>34258</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louisa.spitz</cp:lastModifiedBy>
  <cp:lastPrinted>2023-08-22T17:19:00Z</cp:lastPrinted>
  <dcterms:modified xsi:type="dcterms:W3CDTF">2026-09-11T13:53:14Z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1046-12.2.0.23196</vt:lpwstr>
  </property>
  <property fmtid="{D5CDD505-2E9C-101B-9397-08002B2CF9AE}" pid="6" name="ICV">
    <vt:lpwstr>AA5E36BE2C9D4DA8923CD79FAA21EA6C_12</vt:lpwstr>
  </property>
</Properties>
</file>